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E2" w:rsidRPr="007A5917" w:rsidRDefault="00E306BC" w:rsidP="00F867E2">
      <w:pPr>
        <w:rPr>
          <w:rFonts w:cs="Times New Roman"/>
          <w:b/>
          <w:sz w:val="24"/>
          <w:szCs w:val="24"/>
        </w:rPr>
      </w:pPr>
      <w:r w:rsidRPr="007A5917">
        <w:rPr>
          <w:rFonts w:cs="Times New Roman"/>
          <w:b/>
          <w:sz w:val="24"/>
          <w:szCs w:val="24"/>
        </w:rPr>
        <w:t xml:space="preserve">                         </w:t>
      </w:r>
      <w:r w:rsidR="00254AE2" w:rsidRPr="007A5917">
        <w:rPr>
          <w:rFonts w:cs="Times New Roman"/>
          <w:b/>
          <w:sz w:val="24"/>
          <w:szCs w:val="24"/>
        </w:rPr>
        <w:t xml:space="preserve">                 Список</w:t>
      </w:r>
      <w:r w:rsidRPr="007A5917">
        <w:rPr>
          <w:rFonts w:cs="Times New Roman"/>
          <w:b/>
          <w:sz w:val="24"/>
          <w:szCs w:val="24"/>
        </w:rPr>
        <w:t xml:space="preserve"> новых поступлений</w:t>
      </w:r>
    </w:p>
    <w:p w:rsidR="00254AE2" w:rsidRPr="002D11B4" w:rsidRDefault="00254AE2" w:rsidP="00F867E2">
      <w:pPr>
        <w:rPr>
          <w:rFonts w:cs="Times New Roman"/>
          <w:sz w:val="24"/>
          <w:szCs w:val="24"/>
        </w:rPr>
      </w:pPr>
    </w:p>
    <w:p w:rsidR="00254AE2" w:rsidRPr="002D11B4" w:rsidRDefault="00254AE2" w:rsidP="00F867E2">
      <w:pPr>
        <w:rPr>
          <w:rFonts w:cs="Times New Roman"/>
          <w:sz w:val="24"/>
          <w:szCs w:val="24"/>
        </w:rPr>
      </w:pPr>
    </w:p>
    <w:p w:rsidR="00254AE2" w:rsidRPr="002D11B4" w:rsidRDefault="00254AE2" w:rsidP="00F867E2">
      <w:pPr>
        <w:rPr>
          <w:rFonts w:cs="Times New Roman"/>
          <w:sz w:val="24"/>
          <w:szCs w:val="24"/>
        </w:rPr>
      </w:pPr>
    </w:p>
    <w:p w:rsidR="00F867E2" w:rsidRPr="002D11B4" w:rsidRDefault="00F867E2" w:rsidP="00F867E2">
      <w:pPr>
        <w:rPr>
          <w:rFonts w:cs="Times New Roman"/>
          <w:sz w:val="24"/>
          <w:szCs w:val="24"/>
        </w:rPr>
      </w:pPr>
      <w:r w:rsidRPr="002D11B4">
        <w:rPr>
          <w:rFonts w:cs="Times New Roman"/>
          <w:sz w:val="24"/>
          <w:szCs w:val="24"/>
        </w:rPr>
        <w:t>1. Брагинский, О. Б.</w:t>
      </w:r>
    </w:p>
    <w:p w:rsidR="00F867E2" w:rsidRPr="002D11B4" w:rsidRDefault="00F867E2" w:rsidP="00F867E2">
      <w:pPr>
        <w:rPr>
          <w:rFonts w:cs="Times New Roman"/>
          <w:sz w:val="24"/>
          <w:szCs w:val="24"/>
        </w:rPr>
      </w:pPr>
      <w:r w:rsidRPr="002D11B4">
        <w:rPr>
          <w:rFonts w:cs="Times New Roman"/>
          <w:sz w:val="24"/>
          <w:szCs w:val="24"/>
        </w:rPr>
        <w:t xml:space="preserve">    Совершенствование государственных программ развития / О. Б. Брагинский, Г. М. Татевосян, С. В. Седова // Экономика и математические методы. – 2017. – № 4</w:t>
      </w:r>
      <w:r w:rsidR="00E306BC" w:rsidRPr="002D11B4">
        <w:rPr>
          <w:rFonts w:cs="Times New Roman"/>
          <w:sz w:val="24"/>
          <w:szCs w:val="24"/>
        </w:rPr>
        <w:t>. – С. 3-12</w:t>
      </w:r>
    </w:p>
    <w:p w:rsidR="00E306BC" w:rsidRPr="002D11B4" w:rsidRDefault="00E306BC" w:rsidP="00F867E2">
      <w:pPr>
        <w:rPr>
          <w:rFonts w:cs="Times New Roman"/>
          <w:sz w:val="24"/>
          <w:szCs w:val="24"/>
        </w:rPr>
      </w:pPr>
    </w:p>
    <w:p w:rsidR="00F867E2" w:rsidRPr="002D11B4" w:rsidRDefault="00F867E2" w:rsidP="00F867E2">
      <w:pPr>
        <w:rPr>
          <w:rFonts w:cs="Times New Roman"/>
          <w:sz w:val="24"/>
          <w:szCs w:val="24"/>
        </w:rPr>
      </w:pPr>
      <w:r w:rsidRPr="002D11B4">
        <w:rPr>
          <w:rFonts w:cs="Times New Roman"/>
          <w:sz w:val="24"/>
          <w:szCs w:val="24"/>
        </w:rPr>
        <w:t xml:space="preserve"> – В статье дается анализ методологии разработки государственных программ развития отраслей и регионов. Анализируется зарубежный опыт, в частности опыт разработки  государственных программ в США и Франции. Приведены экспериментальные расчеты, подтвердившие целесообразность предлагаемого экономического механизма.</w:t>
      </w:r>
    </w:p>
    <w:p w:rsidR="00F867E2" w:rsidRPr="002D11B4" w:rsidRDefault="00F867E2" w:rsidP="00F867E2">
      <w:pPr>
        <w:rPr>
          <w:rFonts w:cs="Times New Roman"/>
          <w:sz w:val="24"/>
          <w:szCs w:val="24"/>
        </w:rPr>
      </w:pPr>
    </w:p>
    <w:p w:rsidR="00F867E2" w:rsidRPr="002D11B4" w:rsidRDefault="00F867E2" w:rsidP="00F867E2">
      <w:pPr>
        <w:rPr>
          <w:rFonts w:cs="Times New Roman"/>
          <w:sz w:val="24"/>
          <w:szCs w:val="24"/>
        </w:rPr>
      </w:pPr>
    </w:p>
    <w:p w:rsidR="00F867E2" w:rsidRPr="002D11B4" w:rsidRDefault="002D11B4" w:rsidP="00F867E2">
      <w:pPr>
        <w:rPr>
          <w:rFonts w:cs="Times New Roman"/>
          <w:sz w:val="24"/>
          <w:szCs w:val="24"/>
        </w:rPr>
      </w:pPr>
      <w:r>
        <w:rPr>
          <w:rFonts w:cs="Times New Roman"/>
          <w:sz w:val="24"/>
          <w:szCs w:val="24"/>
        </w:rPr>
        <w:t>2</w:t>
      </w:r>
      <w:r w:rsidR="00F867E2" w:rsidRPr="002D11B4">
        <w:rPr>
          <w:rFonts w:cs="Times New Roman"/>
          <w:sz w:val="24"/>
          <w:szCs w:val="24"/>
        </w:rPr>
        <w:t>. Самолысов, П. В.</w:t>
      </w:r>
    </w:p>
    <w:p w:rsidR="00F867E2" w:rsidRPr="002D11B4" w:rsidRDefault="00F867E2" w:rsidP="00F867E2">
      <w:pPr>
        <w:rPr>
          <w:rFonts w:cs="Times New Roman"/>
          <w:sz w:val="24"/>
          <w:szCs w:val="24"/>
        </w:rPr>
      </w:pPr>
      <w:r w:rsidRPr="002D11B4">
        <w:rPr>
          <w:rFonts w:cs="Times New Roman"/>
          <w:sz w:val="24"/>
          <w:szCs w:val="24"/>
        </w:rPr>
        <w:t xml:space="preserve">    Мониторинг результативности и эффективности государственного антимонопольного контроля: показатели масштаба, полноты, законности и своевременности проверок / П. В. Самолысов // Право и экономика. Документы. Комментарии. Практика. – 2017. – № 10. – С. 24-31</w:t>
      </w:r>
    </w:p>
    <w:p w:rsidR="00482291" w:rsidRPr="002D11B4" w:rsidRDefault="00482291" w:rsidP="00482291">
      <w:pPr>
        <w:rPr>
          <w:rFonts w:cs="Times New Roman"/>
          <w:sz w:val="24"/>
          <w:szCs w:val="24"/>
        </w:rPr>
      </w:pPr>
    </w:p>
    <w:p w:rsidR="00333582" w:rsidRPr="002D11B4" w:rsidRDefault="00333582" w:rsidP="00482291">
      <w:pPr>
        <w:rPr>
          <w:rFonts w:cs="Times New Roman"/>
          <w:sz w:val="24"/>
          <w:szCs w:val="24"/>
        </w:rPr>
      </w:pPr>
    </w:p>
    <w:p w:rsidR="00482291" w:rsidRDefault="002D11B4" w:rsidP="00482291">
      <w:pPr>
        <w:rPr>
          <w:rFonts w:cs="Times New Roman"/>
          <w:sz w:val="24"/>
          <w:szCs w:val="24"/>
        </w:rPr>
      </w:pPr>
      <w:r>
        <w:rPr>
          <w:rFonts w:cs="Times New Roman"/>
          <w:sz w:val="24"/>
          <w:szCs w:val="24"/>
        </w:rPr>
        <w:t>3</w:t>
      </w:r>
      <w:r w:rsidR="00482291" w:rsidRPr="002D11B4">
        <w:rPr>
          <w:rFonts w:cs="Times New Roman"/>
          <w:sz w:val="24"/>
          <w:szCs w:val="24"/>
        </w:rPr>
        <w:t>. 30 крупных отраслей, которые может преобразить блокчейн // Business Excellence. – 2017. – № 11. – С. 48-52. – Окончание в след. №</w:t>
      </w:r>
    </w:p>
    <w:p w:rsidR="002D11B4" w:rsidRPr="002D11B4" w:rsidRDefault="002D11B4" w:rsidP="00482291">
      <w:pPr>
        <w:rPr>
          <w:rFonts w:cs="Times New Roman"/>
          <w:sz w:val="24"/>
          <w:szCs w:val="24"/>
        </w:rPr>
      </w:pPr>
    </w:p>
    <w:p w:rsidR="00482291" w:rsidRPr="002D11B4" w:rsidRDefault="00482291" w:rsidP="00482291">
      <w:pPr>
        <w:rPr>
          <w:rFonts w:cs="Times New Roman"/>
          <w:sz w:val="24"/>
          <w:szCs w:val="24"/>
        </w:rPr>
      </w:pPr>
      <w:r w:rsidRPr="002D11B4">
        <w:rPr>
          <w:rFonts w:cs="Times New Roman"/>
          <w:sz w:val="24"/>
          <w:szCs w:val="24"/>
        </w:rPr>
        <w:t xml:space="preserve"> – Банковские процессы и платежные системы - не единственные отрасли, на которые способен повлиять блокчейн</w:t>
      </w:r>
      <w:r w:rsidR="004E42FC">
        <w:rPr>
          <w:rFonts w:cs="Times New Roman"/>
          <w:sz w:val="24"/>
          <w:szCs w:val="24"/>
        </w:rPr>
        <w:t>:</w:t>
      </w:r>
      <w:r w:rsidRPr="002D11B4">
        <w:rPr>
          <w:rFonts w:cs="Times New Roman"/>
          <w:sz w:val="24"/>
          <w:szCs w:val="24"/>
        </w:rPr>
        <w:t xml:space="preserve"> </w:t>
      </w:r>
      <w:r w:rsidR="004E42FC">
        <w:rPr>
          <w:rFonts w:cs="Times New Roman"/>
          <w:sz w:val="24"/>
          <w:szCs w:val="24"/>
        </w:rPr>
        <w:t>п</w:t>
      </w:r>
      <w:r w:rsidRPr="002D11B4">
        <w:rPr>
          <w:rFonts w:cs="Times New Roman"/>
          <w:sz w:val="24"/>
          <w:szCs w:val="24"/>
        </w:rPr>
        <w:t>равоохранительные органы, услуги профессионального такси и многие другие сектора в будущем т</w:t>
      </w:r>
      <w:r w:rsidR="004E42FC">
        <w:rPr>
          <w:rFonts w:cs="Times New Roman"/>
          <w:sz w:val="24"/>
          <w:szCs w:val="24"/>
        </w:rPr>
        <w:t>акже</w:t>
      </w:r>
      <w:r w:rsidRPr="002D11B4">
        <w:rPr>
          <w:rFonts w:cs="Times New Roman"/>
          <w:sz w:val="24"/>
          <w:szCs w:val="24"/>
        </w:rPr>
        <w:t xml:space="preserve"> могут перейти на эту технологию. </w:t>
      </w:r>
    </w:p>
    <w:p w:rsidR="00482291" w:rsidRPr="002D11B4" w:rsidRDefault="00482291" w:rsidP="00482291">
      <w:pPr>
        <w:rPr>
          <w:rFonts w:cs="Times New Roman"/>
          <w:sz w:val="24"/>
          <w:szCs w:val="24"/>
        </w:rPr>
      </w:pPr>
    </w:p>
    <w:p w:rsidR="00482291" w:rsidRPr="002D11B4" w:rsidRDefault="00482291" w:rsidP="00482291">
      <w:pPr>
        <w:rPr>
          <w:rFonts w:cs="Times New Roman"/>
          <w:sz w:val="24"/>
          <w:szCs w:val="24"/>
        </w:rPr>
      </w:pPr>
    </w:p>
    <w:p w:rsidR="00482291" w:rsidRPr="002D11B4" w:rsidRDefault="002D11B4" w:rsidP="00482291">
      <w:pPr>
        <w:rPr>
          <w:rFonts w:cs="Times New Roman"/>
          <w:sz w:val="24"/>
          <w:szCs w:val="24"/>
        </w:rPr>
      </w:pPr>
      <w:r>
        <w:rPr>
          <w:rFonts w:cs="Times New Roman"/>
          <w:sz w:val="24"/>
          <w:szCs w:val="24"/>
        </w:rPr>
        <w:t>4</w:t>
      </w:r>
      <w:r w:rsidR="00482291" w:rsidRPr="002D11B4">
        <w:rPr>
          <w:rFonts w:cs="Times New Roman"/>
          <w:sz w:val="24"/>
          <w:szCs w:val="24"/>
        </w:rPr>
        <w:t>. Мамедов, Р.</w:t>
      </w:r>
    </w:p>
    <w:p w:rsidR="00482291" w:rsidRPr="002D11B4" w:rsidRDefault="00482291" w:rsidP="00482291">
      <w:pPr>
        <w:rPr>
          <w:rFonts w:cs="Times New Roman"/>
          <w:sz w:val="24"/>
          <w:szCs w:val="24"/>
        </w:rPr>
      </w:pPr>
      <w:r w:rsidRPr="002D11B4">
        <w:rPr>
          <w:rFonts w:cs="Times New Roman"/>
          <w:sz w:val="24"/>
          <w:szCs w:val="24"/>
        </w:rPr>
        <w:t xml:space="preserve">    Пустили по миру / Р. Мамедов // Business Excellence. – 2017. – № 11. – С. 34-35</w:t>
      </w:r>
    </w:p>
    <w:p w:rsidR="00482291" w:rsidRPr="002D11B4" w:rsidRDefault="00482291" w:rsidP="00482291">
      <w:pPr>
        <w:rPr>
          <w:rFonts w:cs="Times New Roman"/>
          <w:sz w:val="24"/>
          <w:szCs w:val="24"/>
        </w:rPr>
      </w:pPr>
      <w:r w:rsidRPr="002D11B4">
        <w:rPr>
          <w:rFonts w:cs="Times New Roman"/>
          <w:sz w:val="24"/>
          <w:szCs w:val="24"/>
        </w:rPr>
        <w:t xml:space="preserve"> – О перспективах использования технологии блокчейн в России и юридическом аспекте ее внедрения.</w:t>
      </w:r>
    </w:p>
    <w:p w:rsidR="00482291" w:rsidRDefault="002D11B4" w:rsidP="002D11B4">
      <w:pPr>
        <w:rPr>
          <w:rFonts w:cs="Times New Roman"/>
          <w:sz w:val="24"/>
          <w:szCs w:val="24"/>
        </w:rPr>
      </w:pPr>
      <w:r>
        <w:rPr>
          <w:rFonts w:cs="Times New Roman"/>
          <w:sz w:val="24"/>
          <w:szCs w:val="24"/>
        </w:rPr>
        <w:t xml:space="preserve"> – Биткоины – Криптовалюта</w:t>
      </w:r>
    </w:p>
    <w:p w:rsidR="002D11B4" w:rsidRPr="002D11B4" w:rsidRDefault="002D11B4" w:rsidP="002D11B4">
      <w:pPr>
        <w:rPr>
          <w:rFonts w:cs="Times New Roman"/>
          <w:sz w:val="24"/>
          <w:szCs w:val="24"/>
        </w:rPr>
      </w:pPr>
    </w:p>
    <w:p w:rsidR="00482291" w:rsidRPr="002D11B4" w:rsidRDefault="00482291" w:rsidP="00482291">
      <w:pPr>
        <w:rPr>
          <w:rFonts w:cs="Times New Roman"/>
          <w:sz w:val="24"/>
          <w:szCs w:val="24"/>
        </w:rPr>
      </w:pPr>
    </w:p>
    <w:p w:rsidR="00482291" w:rsidRPr="002D11B4" w:rsidRDefault="002D11B4" w:rsidP="00482291">
      <w:pPr>
        <w:rPr>
          <w:rFonts w:cs="Times New Roman"/>
          <w:sz w:val="24"/>
          <w:szCs w:val="24"/>
        </w:rPr>
      </w:pPr>
      <w:r>
        <w:rPr>
          <w:rFonts w:cs="Times New Roman"/>
          <w:sz w:val="24"/>
          <w:szCs w:val="24"/>
        </w:rPr>
        <w:t>5</w:t>
      </w:r>
      <w:r w:rsidR="00482291" w:rsidRPr="002D11B4">
        <w:rPr>
          <w:rFonts w:cs="Times New Roman"/>
          <w:sz w:val="24"/>
          <w:szCs w:val="24"/>
        </w:rPr>
        <w:t>. Нойман, К.</w:t>
      </w:r>
    </w:p>
    <w:p w:rsidR="00482291" w:rsidRDefault="00482291" w:rsidP="00482291">
      <w:pPr>
        <w:rPr>
          <w:rFonts w:cs="Times New Roman"/>
          <w:sz w:val="24"/>
          <w:szCs w:val="24"/>
        </w:rPr>
      </w:pPr>
      <w:r w:rsidRPr="002D11B4">
        <w:rPr>
          <w:rFonts w:cs="Times New Roman"/>
          <w:sz w:val="24"/>
          <w:szCs w:val="24"/>
        </w:rPr>
        <w:t xml:space="preserve">    Неизбежный переворот / К. Нойман // Business Excellence. – 2017. – № 11. – С. 44-47</w:t>
      </w:r>
    </w:p>
    <w:p w:rsidR="00482291" w:rsidRPr="002D11B4" w:rsidRDefault="00482291" w:rsidP="00482291">
      <w:pPr>
        <w:rPr>
          <w:rFonts w:cs="Times New Roman"/>
          <w:sz w:val="24"/>
          <w:szCs w:val="24"/>
        </w:rPr>
      </w:pPr>
      <w:r w:rsidRPr="002D11B4">
        <w:rPr>
          <w:rFonts w:cs="Times New Roman"/>
          <w:sz w:val="24"/>
          <w:szCs w:val="24"/>
        </w:rPr>
        <w:t xml:space="preserve"> – Негосударственные пенсионные фонды России приступают к внедрению в своей работе технологии блокчейн. Каковы перспективы использования б</w:t>
      </w:r>
      <w:r w:rsidR="002D11B4">
        <w:rPr>
          <w:rFonts w:cs="Times New Roman"/>
          <w:sz w:val="24"/>
          <w:szCs w:val="24"/>
        </w:rPr>
        <w:t>локчейна, существующие сегодня?</w:t>
      </w:r>
    </w:p>
    <w:p w:rsidR="00482291" w:rsidRPr="002D11B4" w:rsidRDefault="00482291" w:rsidP="00482291">
      <w:pPr>
        <w:rPr>
          <w:rFonts w:cs="Times New Roman"/>
          <w:sz w:val="24"/>
          <w:szCs w:val="24"/>
        </w:rPr>
      </w:pPr>
    </w:p>
    <w:p w:rsidR="00482291" w:rsidRPr="002D11B4" w:rsidRDefault="00482291" w:rsidP="00482291">
      <w:pPr>
        <w:rPr>
          <w:rFonts w:cs="Times New Roman"/>
          <w:sz w:val="24"/>
          <w:szCs w:val="24"/>
        </w:rPr>
      </w:pPr>
    </w:p>
    <w:p w:rsidR="00482291" w:rsidRPr="002D11B4" w:rsidRDefault="002D11B4" w:rsidP="00482291">
      <w:pPr>
        <w:rPr>
          <w:rFonts w:cs="Times New Roman"/>
          <w:sz w:val="24"/>
          <w:szCs w:val="24"/>
        </w:rPr>
      </w:pPr>
      <w:r>
        <w:rPr>
          <w:rFonts w:cs="Times New Roman"/>
          <w:sz w:val="24"/>
          <w:szCs w:val="24"/>
        </w:rPr>
        <w:t>6</w:t>
      </w:r>
      <w:r w:rsidR="00482291" w:rsidRPr="002D11B4">
        <w:rPr>
          <w:rFonts w:cs="Times New Roman"/>
          <w:sz w:val="24"/>
          <w:szCs w:val="24"/>
        </w:rPr>
        <w:t>. Тюшевская, О.</w:t>
      </w:r>
    </w:p>
    <w:p w:rsidR="00482291" w:rsidRPr="002D11B4" w:rsidRDefault="00482291" w:rsidP="00482291">
      <w:pPr>
        <w:rPr>
          <w:rFonts w:cs="Times New Roman"/>
          <w:sz w:val="24"/>
          <w:szCs w:val="24"/>
        </w:rPr>
      </w:pPr>
      <w:r w:rsidRPr="002D11B4">
        <w:rPr>
          <w:rFonts w:cs="Times New Roman"/>
          <w:sz w:val="24"/>
          <w:szCs w:val="24"/>
        </w:rPr>
        <w:t xml:space="preserve">    Криптовалюта: зайти в "окно возможностей" / О. Тюшевская // Business Excellence. – 2017. – № 11. – С. 28-32</w:t>
      </w:r>
    </w:p>
    <w:p w:rsidR="00482291" w:rsidRDefault="00482291" w:rsidP="002D11B4">
      <w:pPr>
        <w:rPr>
          <w:rFonts w:cs="Times New Roman"/>
          <w:sz w:val="24"/>
          <w:szCs w:val="24"/>
        </w:rPr>
      </w:pPr>
      <w:r w:rsidRPr="002D11B4">
        <w:rPr>
          <w:rFonts w:cs="Times New Roman"/>
          <w:sz w:val="24"/>
          <w:szCs w:val="24"/>
        </w:rPr>
        <w:t xml:space="preserve"> – Рынок криптовалют в России и мире.</w:t>
      </w:r>
    </w:p>
    <w:p w:rsidR="004E42FC" w:rsidRDefault="004E42FC" w:rsidP="002D11B4">
      <w:pPr>
        <w:rPr>
          <w:rFonts w:cs="Times New Roman"/>
          <w:sz w:val="24"/>
          <w:szCs w:val="24"/>
        </w:rPr>
      </w:pPr>
    </w:p>
    <w:p w:rsidR="004E42FC" w:rsidRDefault="004E42FC" w:rsidP="002D11B4">
      <w:pPr>
        <w:rPr>
          <w:rFonts w:cs="Times New Roman"/>
          <w:sz w:val="24"/>
          <w:szCs w:val="24"/>
        </w:rPr>
      </w:pPr>
    </w:p>
    <w:p w:rsidR="004E42FC" w:rsidRPr="002D11B4" w:rsidRDefault="002D11B4" w:rsidP="004E42FC">
      <w:pPr>
        <w:rPr>
          <w:rFonts w:cs="Times New Roman"/>
          <w:sz w:val="24"/>
          <w:szCs w:val="24"/>
        </w:rPr>
      </w:pPr>
      <w:r>
        <w:rPr>
          <w:rFonts w:cs="Times New Roman"/>
          <w:sz w:val="24"/>
          <w:szCs w:val="24"/>
        </w:rPr>
        <w:t>7</w:t>
      </w:r>
      <w:r w:rsidR="00482291" w:rsidRPr="002D11B4">
        <w:rPr>
          <w:rFonts w:cs="Times New Roman"/>
          <w:sz w:val="24"/>
          <w:szCs w:val="24"/>
        </w:rPr>
        <w:t>.</w:t>
      </w:r>
      <w:r w:rsidR="004E42FC" w:rsidRPr="002D11B4">
        <w:rPr>
          <w:rFonts w:cs="Times New Roman"/>
          <w:sz w:val="24"/>
          <w:szCs w:val="24"/>
        </w:rPr>
        <w:t xml:space="preserve"> Кутукова, Е. С.</w:t>
      </w:r>
    </w:p>
    <w:p w:rsidR="004E42FC" w:rsidRPr="002D11B4" w:rsidRDefault="004E42FC" w:rsidP="004E42FC">
      <w:pPr>
        <w:rPr>
          <w:rFonts w:cs="Times New Roman"/>
          <w:sz w:val="24"/>
          <w:szCs w:val="24"/>
        </w:rPr>
      </w:pPr>
      <w:r w:rsidRPr="002D11B4">
        <w:rPr>
          <w:rFonts w:cs="Times New Roman"/>
          <w:sz w:val="24"/>
          <w:szCs w:val="24"/>
        </w:rPr>
        <w:t xml:space="preserve">    Риски, проблемы и недостатки государственных программ / Е. С. Кутукова // Бюджет. – 2017. – № 11. – С. 43-45</w:t>
      </w:r>
    </w:p>
    <w:p w:rsidR="00482291" w:rsidRPr="002D11B4" w:rsidRDefault="002D11B4" w:rsidP="00482291">
      <w:pPr>
        <w:rPr>
          <w:rFonts w:cs="Times New Roman"/>
          <w:sz w:val="24"/>
          <w:szCs w:val="24"/>
        </w:rPr>
      </w:pPr>
      <w:r>
        <w:rPr>
          <w:rFonts w:cs="Times New Roman"/>
          <w:sz w:val="24"/>
          <w:szCs w:val="24"/>
        </w:rPr>
        <w:lastRenderedPageBreak/>
        <w:t>8</w:t>
      </w:r>
      <w:r w:rsidR="00482291" w:rsidRPr="002D11B4">
        <w:rPr>
          <w:rFonts w:cs="Times New Roman"/>
          <w:sz w:val="24"/>
          <w:szCs w:val="24"/>
        </w:rPr>
        <w:t>. Иванов, О.</w:t>
      </w:r>
    </w:p>
    <w:p w:rsidR="00482291" w:rsidRPr="002D11B4" w:rsidRDefault="00482291" w:rsidP="00482291">
      <w:pPr>
        <w:rPr>
          <w:rFonts w:cs="Times New Roman"/>
          <w:sz w:val="24"/>
          <w:szCs w:val="24"/>
        </w:rPr>
      </w:pPr>
      <w:r w:rsidRPr="002D11B4">
        <w:rPr>
          <w:rFonts w:cs="Times New Roman"/>
          <w:sz w:val="24"/>
          <w:szCs w:val="24"/>
        </w:rPr>
        <w:t xml:space="preserve">    Японский опыт организации и управления сферой государственно-частного партнерства / О. Иванов, А. Иванова // Проблемы теории и практики управления. – 2017. – № 10. – С. 19-26</w:t>
      </w:r>
    </w:p>
    <w:p w:rsidR="00482291" w:rsidRDefault="00482291" w:rsidP="002D11B4">
      <w:pPr>
        <w:rPr>
          <w:rFonts w:cs="Times New Roman"/>
          <w:sz w:val="24"/>
          <w:szCs w:val="24"/>
        </w:rPr>
      </w:pPr>
      <w:r w:rsidRPr="002D11B4">
        <w:rPr>
          <w:rFonts w:cs="Times New Roman"/>
          <w:sz w:val="24"/>
          <w:szCs w:val="24"/>
        </w:rPr>
        <w:t xml:space="preserve"> </w:t>
      </w:r>
    </w:p>
    <w:p w:rsidR="002D11B4" w:rsidRPr="002D11B4" w:rsidRDefault="002D11B4" w:rsidP="002D11B4">
      <w:pPr>
        <w:rPr>
          <w:rFonts w:cs="Times New Roman"/>
          <w:sz w:val="24"/>
          <w:szCs w:val="24"/>
        </w:rPr>
      </w:pPr>
    </w:p>
    <w:p w:rsidR="00482291" w:rsidRPr="002D11B4" w:rsidRDefault="002D11B4" w:rsidP="00482291">
      <w:pPr>
        <w:rPr>
          <w:rFonts w:cs="Times New Roman"/>
          <w:sz w:val="24"/>
          <w:szCs w:val="24"/>
        </w:rPr>
      </w:pPr>
      <w:r>
        <w:rPr>
          <w:rFonts w:cs="Times New Roman"/>
          <w:sz w:val="24"/>
          <w:szCs w:val="24"/>
        </w:rPr>
        <w:t>9</w:t>
      </w:r>
      <w:r w:rsidR="00482291" w:rsidRPr="002D11B4">
        <w:rPr>
          <w:rFonts w:cs="Times New Roman"/>
          <w:sz w:val="24"/>
          <w:szCs w:val="24"/>
        </w:rPr>
        <w:t>. Крекова, М. М.</w:t>
      </w:r>
    </w:p>
    <w:p w:rsidR="00482291" w:rsidRPr="002D11B4" w:rsidRDefault="00482291" w:rsidP="00482291">
      <w:pPr>
        <w:rPr>
          <w:rFonts w:cs="Times New Roman"/>
          <w:sz w:val="24"/>
          <w:szCs w:val="24"/>
        </w:rPr>
      </w:pPr>
      <w:r w:rsidRPr="002D11B4">
        <w:rPr>
          <w:rFonts w:cs="Times New Roman"/>
          <w:sz w:val="24"/>
          <w:szCs w:val="24"/>
        </w:rPr>
        <w:t xml:space="preserve">    Неустойчивость социально-трудовых отношений в малом бизнесе / М. М. Крекова, Е. М. Киселева // РИСК: Ресурсы, Информация, Снабжение, Конкуренция. – 2017. – № 3. – С. 71-73</w:t>
      </w:r>
    </w:p>
    <w:p w:rsidR="00482291" w:rsidRPr="002D11B4" w:rsidRDefault="00482291" w:rsidP="00482291">
      <w:pPr>
        <w:rPr>
          <w:rFonts w:cs="Times New Roman"/>
          <w:sz w:val="24"/>
          <w:szCs w:val="24"/>
        </w:rPr>
      </w:pPr>
      <w:r w:rsidRPr="002D11B4">
        <w:rPr>
          <w:rFonts w:cs="Times New Roman"/>
          <w:sz w:val="24"/>
          <w:szCs w:val="24"/>
        </w:rPr>
        <w:t xml:space="preserve"> – В статье рассмотрены актуальные проблемы неустойчивости социально-трудовых отношений в развитии российского малого бизнеса в условиях современной глобализации экономики. Технологическая и организационная перестройка, новая индустриализация способствует развитию процесса подчинения многих мелких предприятий крупным. Это усиливает неустойчивость социально-трудового положения занятых на предприятиях малого и среднего уровня.</w:t>
      </w:r>
    </w:p>
    <w:p w:rsidR="00482291" w:rsidRPr="002D11B4" w:rsidRDefault="00482291" w:rsidP="00482291">
      <w:pPr>
        <w:rPr>
          <w:rFonts w:cs="Times New Roman"/>
          <w:sz w:val="24"/>
          <w:szCs w:val="24"/>
        </w:rPr>
      </w:pPr>
    </w:p>
    <w:p w:rsidR="00482291" w:rsidRPr="002D11B4" w:rsidRDefault="00482291" w:rsidP="00482291">
      <w:pPr>
        <w:rPr>
          <w:rFonts w:cs="Times New Roman"/>
          <w:sz w:val="24"/>
          <w:szCs w:val="24"/>
        </w:rPr>
      </w:pPr>
    </w:p>
    <w:p w:rsidR="00482291" w:rsidRPr="002D11B4" w:rsidRDefault="002D11B4" w:rsidP="00482291">
      <w:pPr>
        <w:rPr>
          <w:rFonts w:cs="Times New Roman"/>
          <w:sz w:val="24"/>
          <w:szCs w:val="24"/>
        </w:rPr>
      </w:pPr>
      <w:r>
        <w:rPr>
          <w:rFonts w:cs="Times New Roman"/>
          <w:sz w:val="24"/>
          <w:szCs w:val="24"/>
        </w:rPr>
        <w:t>10</w:t>
      </w:r>
      <w:r w:rsidR="00482291" w:rsidRPr="002D11B4">
        <w:rPr>
          <w:rFonts w:cs="Times New Roman"/>
          <w:sz w:val="24"/>
          <w:szCs w:val="24"/>
        </w:rPr>
        <w:t>. Петухов, Н. А.</w:t>
      </w:r>
    </w:p>
    <w:p w:rsidR="002D11B4" w:rsidRDefault="00482291" w:rsidP="00482291">
      <w:pPr>
        <w:rPr>
          <w:rFonts w:cs="Times New Roman"/>
          <w:sz w:val="24"/>
          <w:szCs w:val="24"/>
        </w:rPr>
      </w:pPr>
      <w:r w:rsidRPr="002D11B4">
        <w:rPr>
          <w:rFonts w:cs="Times New Roman"/>
          <w:sz w:val="24"/>
          <w:szCs w:val="24"/>
        </w:rPr>
        <w:t xml:space="preserve">    Преимущества крупных городов при миграции населения / Н. А. Петухов // РИСК: Ресурсы, Информация, Снабжение, Конкуренция. – 2017. – № 3. – С. 125-130</w:t>
      </w:r>
    </w:p>
    <w:p w:rsidR="004E42FC" w:rsidRPr="002D11B4" w:rsidRDefault="004E42FC" w:rsidP="00482291">
      <w:pPr>
        <w:rPr>
          <w:rFonts w:cs="Times New Roman"/>
          <w:sz w:val="24"/>
          <w:szCs w:val="24"/>
        </w:rPr>
      </w:pPr>
    </w:p>
    <w:p w:rsidR="00482291" w:rsidRDefault="00482291" w:rsidP="00482291">
      <w:pPr>
        <w:rPr>
          <w:rFonts w:cs="Times New Roman"/>
          <w:sz w:val="24"/>
          <w:szCs w:val="24"/>
        </w:rPr>
      </w:pPr>
      <w:r w:rsidRPr="002D11B4">
        <w:rPr>
          <w:rFonts w:cs="Times New Roman"/>
          <w:sz w:val="24"/>
          <w:szCs w:val="24"/>
        </w:rPr>
        <w:t xml:space="preserve"> – Статья посвящена рассмотрению преимуще</w:t>
      </w:r>
      <w:proofErr w:type="gramStart"/>
      <w:r w:rsidRPr="002D11B4">
        <w:rPr>
          <w:rFonts w:cs="Times New Roman"/>
          <w:sz w:val="24"/>
          <w:szCs w:val="24"/>
        </w:rPr>
        <w:t>ств кр</w:t>
      </w:r>
      <w:proofErr w:type="gramEnd"/>
      <w:r w:rsidRPr="002D11B4">
        <w:rPr>
          <w:rFonts w:cs="Times New Roman"/>
          <w:sz w:val="24"/>
          <w:szCs w:val="24"/>
        </w:rPr>
        <w:t>упных городов с позиции миграции населения. Рассматривается рейтинг крупных городов в 2015 году по основным показателям - уровню ВРП, плотности населения, естественному и миграционному приросту, средней величине заработной платы и пенсии, обеспечению объектами здравоохранения в абсолютных и относительных значениях.</w:t>
      </w:r>
    </w:p>
    <w:p w:rsidR="004E42FC" w:rsidRPr="002D11B4" w:rsidRDefault="004E42FC" w:rsidP="00482291">
      <w:pPr>
        <w:rPr>
          <w:rFonts w:cs="Times New Roman"/>
          <w:sz w:val="24"/>
          <w:szCs w:val="24"/>
        </w:rPr>
      </w:pPr>
    </w:p>
    <w:p w:rsidR="008F411E" w:rsidRPr="002D11B4" w:rsidRDefault="008F411E" w:rsidP="00482291">
      <w:pPr>
        <w:rPr>
          <w:rFonts w:cs="Times New Roman"/>
          <w:sz w:val="24"/>
          <w:szCs w:val="24"/>
        </w:rPr>
      </w:pPr>
    </w:p>
    <w:p w:rsidR="00482291" w:rsidRPr="002D11B4" w:rsidRDefault="00482291" w:rsidP="00482291">
      <w:pPr>
        <w:rPr>
          <w:rFonts w:cs="Times New Roman"/>
          <w:sz w:val="24"/>
          <w:szCs w:val="24"/>
        </w:rPr>
      </w:pPr>
      <w:r w:rsidRPr="002D11B4">
        <w:rPr>
          <w:rFonts w:cs="Times New Roman"/>
          <w:sz w:val="24"/>
          <w:szCs w:val="24"/>
        </w:rPr>
        <w:t>1</w:t>
      </w:r>
      <w:r w:rsidR="002D11B4">
        <w:rPr>
          <w:rFonts w:cs="Times New Roman"/>
          <w:sz w:val="24"/>
          <w:szCs w:val="24"/>
        </w:rPr>
        <w:t>1</w:t>
      </w:r>
      <w:r w:rsidRPr="002D11B4">
        <w:rPr>
          <w:rFonts w:cs="Times New Roman"/>
          <w:sz w:val="24"/>
          <w:szCs w:val="24"/>
        </w:rPr>
        <w:t>. Сукиасян, А. Г.</w:t>
      </w:r>
    </w:p>
    <w:p w:rsidR="008F411E" w:rsidRPr="002D11B4" w:rsidRDefault="00482291" w:rsidP="00482291">
      <w:pPr>
        <w:rPr>
          <w:rFonts w:cs="Times New Roman"/>
          <w:sz w:val="24"/>
          <w:szCs w:val="24"/>
        </w:rPr>
      </w:pPr>
      <w:r w:rsidRPr="002D11B4">
        <w:rPr>
          <w:rFonts w:cs="Times New Roman"/>
          <w:sz w:val="24"/>
          <w:szCs w:val="24"/>
        </w:rPr>
        <w:t xml:space="preserve">    К вопросу об оценке экономического благополучия населения регионов России / А. Г. Сукиасян, Г. В. Хоршикян // РИСК: Ресурсы, Информация, Снабжение, Конкуренция. – 2017. – № 3. – С. 146-150</w:t>
      </w:r>
    </w:p>
    <w:p w:rsidR="00482291" w:rsidRPr="002D11B4" w:rsidRDefault="00482291" w:rsidP="00482291">
      <w:pPr>
        <w:rPr>
          <w:rFonts w:cs="Times New Roman"/>
          <w:sz w:val="24"/>
          <w:szCs w:val="24"/>
        </w:rPr>
      </w:pPr>
      <w:r w:rsidRPr="002D11B4">
        <w:rPr>
          <w:rFonts w:cs="Times New Roman"/>
          <w:sz w:val="24"/>
          <w:szCs w:val="24"/>
        </w:rPr>
        <w:t xml:space="preserve"> – В статье предложен подход к измерению экономического благополучия в регионах России, базирующийся на анализе структуры потребительских расходов населения и ее динамике в 1994-2015 гг. Построена устойчивая группировка регионов, проведен сопоставительный анализ полученных групп по рассматриваемому показателю.</w:t>
      </w:r>
    </w:p>
    <w:p w:rsidR="00482291" w:rsidRPr="002D11B4" w:rsidRDefault="00482291" w:rsidP="008F411E">
      <w:pPr>
        <w:rPr>
          <w:rFonts w:cs="Times New Roman"/>
          <w:sz w:val="24"/>
          <w:szCs w:val="24"/>
        </w:rPr>
      </w:pPr>
      <w:r w:rsidRPr="002D11B4">
        <w:rPr>
          <w:rFonts w:cs="Times New Roman"/>
          <w:sz w:val="24"/>
          <w:szCs w:val="24"/>
        </w:rPr>
        <w:t xml:space="preserve"> </w:t>
      </w:r>
    </w:p>
    <w:p w:rsidR="00482291" w:rsidRPr="002D11B4" w:rsidRDefault="00482291" w:rsidP="00482291">
      <w:pPr>
        <w:rPr>
          <w:rFonts w:cs="Times New Roman"/>
          <w:sz w:val="24"/>
          <w:szCs w:val="24"/>
        </w:rPr>
      </w:pPr>
    </w:p>
    <w:p w:rsidR="00482291" w:rsidRPr="002D11B4" w:rsidRDefault="00482291" w:rsidP="00482291">
      <w:pPr>
        <w:rPr>
          <w:rFonts w:cs="Times New Roman"/>
          <w:sz w:val="24"/>
          <w:szCs w:val="24"/>
        </w:rPr>
      </w:pPr>
      <w:r w:rsidRPr="002D11B4">
        <w:rPr>
          <w:rFonts w:cs="Times New Roman"/>
          <w:sz w:val="24"/>
          <w:szCs w:val="24"/>
        </w:rPr>
        <w:t>12. Федорова, И. В.</w:t>
      </w:r>
    </w:p>
    <w:p w:rsidR="00482291" w:rsidRDefault="00482291" w:rsidP="00482291">
      <w:pPr>
        <w:rPr>
          <w:rFonts w:cs="Times New Roman"/>
          <w:sz w:val="24"/>
          <w:szCs w:val="24"/>
        </w:rPr>
      </w:pPr>
      <w:r w:rsidRPr="002D11B4">
        <w:rPr>
          <w:rFonts w:cs="Times New Roman"/>
          <w:sz w:val="24"/>
          <w:szCs w:val="24"/>
        </w:rPr>
        <w:t xml:space="preserve">    Классификация рисков государственных программ Российской Федерации / И. В. Федорова, Л. И. Солнцева // РИСК: Ресурсы, Информация, Снабжение, Конкуренция. – 2017. – № 3. – С. 155-158</w:t>
      </w:r>
    </w:p>
    <w:p w:rsidR="004E42FC" w:rsidRPr="002D11B4" w:rsidRDefault="004E42FC" w:rsidP="00482291">
      <w:pPr>
        <w:rPr>
          <w:rFonts w:cs="Times New Roman"/>
          <w:sz w:val="24"/>
          <w:szCs w:val="24"/>
        </w:rPr>
      </w:pPr>
    </w:p>
    <w:p w:rsidR="00482291" w:rsidRPr="002D11B4" w:rsidRDefault="00482291" w:rsidP="00482291">
      <w:pPr>
        <w:rPr>
          <w:rFonts w:cs="Times New Roman"/>
          <w:sz w:val="24"/>
          <w:szCs w:val="24"/>
        </w:rPr>
      </w:pPr>
      <w:r w:rsidRPr="002D11B4">
        <w:rPr>
          <w:rFonts w:cs="Times New Roman"/>
          <w:sz w:val="24"/>
          <w:szCs w:val="24"/>
        </w:rPr>
        <w:t xml:space="preserve"> – В статье предложена расширенная, многофакторная классификация рисков, возникающих в ходе реализации государственных программ на основе совокупности различных классификационных признаков, таких как степень влияния риска на результаты реализации программы, степень прогнозируемости риска, частоты возникновения.</w:t>
      </w:r>
    </w:p>
    <w:p w:rsidR="00482291" w:rsidRDefault="00482291" w:rsidP="00482291">
      <w:pPr>
        <w:rPr>
          <w:rFonts w:cs="Times New Roman"/>
          <w:sz w:val="24"/>
          <w:szCs w:val="24"/>
        </w:rPr>
      </w:pPr>
    </w:p>
    <w:p w:rsidR="004E42FC" w:rsidRPr="002D11B4" w:rsidRDefault="004E42FC" w:rsidP="00482291">
      <w:pPr>
        <w:rPr>
          <w:rFonts w:cs="Times New Roman"/>
          <w:sz w:val="24"/>
          <w:szCs w:val="24"/>
        </w:rPr>
      </w:pPr>
    </w:p>
    <w:p w:rsidR="00482291" w:rsidRPr="002D11B4" w:rsidRDefault="00482291" w:rsidP="00482291">
      <w:pPr>
        <w:rPr>
          <w:rFonts w:cs="Times New Roman"/>
          <w:sz w:val="24"/>
          <w:szCs w:val="24"/>
        </w:rPr>
      </w:pPr>
    </w:p>
    <w:p w:rsidR="00482291" w:rsidRPr="002D11B4" w:rsidRDefault="002D11B4" w:rsidP="00482291">
      <w:pPr>
        <w:rPr>
          <w:rFonts w:cs="Times New Roman"/>
          <w:sz w:val="24"/>
          <w:szCs w:val="24"/>
        </w:rPr>
      </w:pPr>
      <w:r>
        <w:rPr>
          <w:rFonts w:cs="Times New Roman"/>
          <w:sz w:val="24"/>
          <w:szCs w:val="24"/>
        </w:rPr>
        <w:lastRenderedPageBreak/>
        <w:t>13</w:t>
      </w:r>
      <w:r w:rsidR="00482291" w:rsidRPr="002D11B4">
        <w:rPr>
          <w:rFonts w:cs="Times New Roman"/>
          <w:sz w:val="24"/>
          <w:szCs w:val="24"/>
        </w:rPr>
        <w:t>. Верна, В. В.</w:t>
      </w:r>
    </w:p>
    <w:p w:rsidR="00482291" w:rsidRPr="002D11B4" w:rsidRDefault="00482291" w:rsidP="00482291">
      <w:pPr>
        <w:rPr>
          <w:rFonts w:cs="Times New Roman"/>
          <w:sz w:val="24"/>
          <w:szCs w:val="24"/>
        </w:rPr>
      </w:pPr>
      <w:r w:rsidRPr="002D11B4">
        <w:rPr>
          <w:rFonts w:cs="Times New Roman"/>
          <w:sz w:val="24"/>
          <w:szCs w:val="24"/>
        </w:rPr>
        <w:t xml:space="preserve">    Особенности применения кадровых технологий работы с молодыми специалистами на рынке труда: опыт российских компаний / В. В. Верна // РИСК: Ресурсы, Информация, Снабжение, Конкуренция. – 2017. – № 3. – С. 66-70</w:t>
      </w:r>
    </w:p>
    <w:p w:rsidR="00CE3EB5" w:rsidRPr="002D11B4" w:rsidRDefault="00CE3EB5" w:rsidP="00482291">
      <w:pPr>
        <w:rPr>
          <w:rFonts w:cs="Times New Roman"/>
          <w:sz w:val="24"/>
          <w:szCs w:val="24"/>
        </w:rPr>
      </w:pPr>
    </w:p>
    <w:p w:rsidR="00482291" w:rsidRDefault="00482291" w:rsidP="00482291">
      <w:pPr>
        <w:rPr>
          <w:rFonts w:cs="Times New Roman"/>
          <w:sz w:val="24"/>
          <w:szCs w:val="24"/>
        </w:rPr>
      </w:pPr>
      <w:r w:rsidRPr="002D11B4">
        <w:rPr>
          <w:rFonts w:cs="Times New Roman"/>
          <w:sz w:val="24"/>
          <w:szCs w:val="24"/>
        </w:rPr>
        <w:t xml:space="preserve"> – </w:t>
      </w:r>
      <w:r w:rsidR="008F411E" w:rsidRPr="002D11B4">
        <w:rPr>
          <w:rFonts w:cs="Times New Roman"/>
          <w:sz w:val="24"/>
          <w:szCs w:val="24"/>
        </w:rPr>
        <w:t>В статье проанализированы предпосылки применения кадровых технологий в работе с молодыми специалистами в организации; изучен передовой опыт кадровой работы с молодыми сотрудниками в российских компаниях, предложены направления совершенствования используемых кадровых технологий работы с молодыми сотрудниками на отечественных предприятиях.</w:t>
      </w:r>
      <w:r w:rsidRPr="002D11B4">
        <w:rPr>
          <w:rFonts w:cs="Times New Roman"/>
          <w:sz w:val="24"/>
          <w:szCs w:val="24"/>
        </w:rPr>
        <w:t xml:space="preserve"> </w:t>
      </w:r>
    </w:p>
    <w:p w:rsidR="004E42FC" w:rsidRDefault="004E42FC" w:rsidP="00482291">
      <w:pPr>
        <w:rPr>
          <w:rFonts w:cs="Times New Roman"/>
          <w:sz w:val="24"/>
          <w:szCs w:val="24"/>
        </w:rPr>
      </w:pPr>
    </w:p>
    <w:p w:rsidR="004E42FC" w:rsidRPr="002D11B4" w:rsidRDefault="004E42FC" w:rsidP="00482291">
      <w:pPr>
        <w:rPr>
          <w:rFonts w:cs="Times New Roman"/>
          <w:sz w:val="24"/>
          <w:szCs w:val="24"/>
        </w:rPr>
      </w:pPr>
    </w:p>
    <w:p w:rsidR="00482291" w:rsidRPr="002D11B4" w:rsidRDefault="002D11B4" w:rsidP="00482291">
      <w:pPr>
        <w:rPr>
          <w:rFonts w:cs="Times New Roman"/>
          <w:sz w:val="24"/>
          <w:szCs w:val="24"/>
        </w:rPr>
      </w:pPr>
      <w:r>
        <w:rPr>
          <w:rFonts w:cs="Times New Roman"/>
          <w:sz w:val="24"/>
          <w:szCs w:val="24"/>
        </w:rPr>
        <w:t>1</w:t>
      </w:r>
      <w:r w:rsidR="00482291" w:rsidRPr="002D11B4">
        <w:rPr>
          <w:rFonts w:cs="Times New Roman"/>
          <w:sz w:val="24"/>
          <w:szCs w:val="24"/>
        </w:rPr>
        <w:t>4. Перекрестов, М. В.</w:t>
      </w:r>
    </w:p>
    <w:p w:rsidR="00482291" w:rsidRDefault="00482291" w:rsidP="00482291">
      <w:pPr>
        <w:rPr>
          <w:rFonts w:cs="Times New Roman"/>
          <w:sz w:val="24"/>
          <w:szCs w:val="24"/>
        </w:rPr>
      </w:pPr>
      <w:r w:rsidRPr="002D11B4">
        <w:rPr>
          <w:rFonts w:cs="Times New Roman"/>
          <w:sz w:val="24"/>
          <w:szCs w:val="24"/>
        </w:rPr>
        <w:t xml:space="preserve">    Развитие логистической инфраструктуры в условиях цифровой экономики / М. В. Перекрестов // РИСК: Ресурсы, Информация, Снабжение, Конкуренция. – 2017. – № 3. – С. 16-20</w:t>
      </w:r>
    </w:p>
    <w:p w:rsidR="004E42FC" w:rsidRPr="002D11B4" w:rsidRDefault="004E42FC" w:rsidP="00482291">
      <w:pPr>
        <w:rPr>
          <w:rFonts w:cs="Times New Roman"/>
          <w:sz w:val="24"/>
          <w:szCs w:val="24"/>
        </w:rPr>
      </w:pPr>
    </w:p>
    <w:p w:rsidR="00482291" w:rsidRPr="002D11B4" w:rsidRDefault="00482291" w:rsidP="00482291">
      <w:pPr>
        <w:rPr>
          <w:rFonts w:cs="Times New Roman"/>
          <w:sz w:val="24"/>
          <w:szCs w:val="24"/>
        </w:rPr>
      </w:pPr>
      <w:r w:rsidRPr="002D11B4">
        <w:rPr>
          <w:rFonts w:cs="Times New Roman"/>
          <w:sz w:val="24"/>
          <w:szCs w:val="24"/>
        </w:rPr>
        <w:t xml:space="preserve"> – В статье рассмотрены вопросы развития текстильной отрасли в рамках цифровой экономики с использованием адаптивных информационных потоков в логистической инфраструктуре, проведена классификации информационных потоков, учтены логистические риски, разработан комплекс организационно-экономических мероприятий, направленных на их </w:t>
      </w:r>
      <w:proofErr w:type="gramStart"/>
      <w:r w:rsidRPr="002D11B4">
        <w:rPr>
          <w:rFonts w:cs="Times New Roman"/>
          <w:sz w:val="24"/>
          <w:szCs w:val="24"/>
        </w:rPr>
        <w:t>минимизацию</w:t>
      </w:r>
      <w:proofErr w:type="gramEnd"/>
      <w:r w:rsidRPr="002D11B4">
        <w:rPr>
          <w:rFonts w:cs="Times New Roman"/>
          <w:sz w:val="24"/>
          <w:szCs w:val="24"/>
        </w:rPr>
        <w:t xml:space="preserve"> на основе государственно-частного партнерства и новых информационно-коммуникационных технологий для развития логистической инфраструктуры текстильных предприятий и формирования конкурентных преимуществ отечественных производителей для вывода на траекторию устойчивого роста.</w:t>
      </w:r>
    </w:p>
    <w:p w:rsidR="00482291" w:rsidRPr="002D11B4" w:rsidRDefault="00482291" w:rsidP="00482291">
      <w:pPr>
        <w:rPr>
          <w:rFonts w:cs="Times New Roman"/>
          <w:sz w:val="24"/>
          <w:szCs w:val="24"/>
        </w:rPr>
      </w:pPr>
    </w:p>
    <w:p w:rsidR="00482291" w:rsidRPr="002D11B4" w:rsidRDefault="002D11B4" w:rsidP="00482291">
      <w:pPr>
        <w:rPr>
          <w:rFonts w:cs="Times New Roman"/>
          <w:sz w:val="24"/>
          <w:szCs w:val="24"/>
        </w:rPr>
      </w:pPr>
      <w:r>
        <w:rPr>
          <w:rFonts w:cs="Times New Roman"/>
          <w:sz w:val="24"/>
          <w:szCs w:val="24"/>
        </w:rPr>
        <w:t>1</w:t>
      </w:r>
      <w:r w:rsidR="00482291" w:rsidRPr="002D11B4">
        <w:rPr>
          <w:rFonts w:cs="Times New Roman"/>
          <w:sz w:val="24"/>
          <w:szCs w:val="24"/>
        </w:rPr>
        <w:t>5. Попов, Е.</w:t>
      </w:r>
    </w:p>
    <w:p w:rsidR="00482291" w:rsidRDefault="00482291" w:rsidP="00482291">
      <w:pPr>
        <w:rPr>
          <w:rFonts w:cs="Times New Roman"/>
          <w:sz w:val="24"/>
          <w:szCs w:val="24"/>
        </w:rPr>
      </w:pPr>
      <w:r w:rsidRPr="002D11B4">
        <w:rPr>
          <w:rFonts w:cs="Times New Roman"/>
          <w:sz w:val="24"/>
          <w:szCs w:val="24"/>
        </w:rPr>
        <w:t xml:space="preserve">    Анализ трендов развития цифровой экономики / Е. Попов, К. Семячков // Проблемы теории и практики управления. – 2017. – № 10. – С. 66-73</w:t>
      </w:r>
    </w:p>
    <w:p w:rsidR="004E42FC" w:rsidRPr="002D11B4" w:rsidRDefault="004E42FC" w:rsidP="00482291">
      <w:pPr>
        <w:rPr>
          <w:rFonts w:cs="Times New Roman"/>
          <w:sz w:val="24"/>
          <w:szCs w:val="24"/>
        </w:rPr>
      </w:pPr>
    </w:p>
    <w:p w:rsidR="00482291" w:rsidRPr="002D11B4" w:rsidRDefault="00482291" w:rsidP="00482291">
      <w:pPr>
        <w:rPr>
          <w:rFonts w:cs="Times New Roman"/>
          <w:sz w:val="24"/>
          <w:szCs w:val="24"/>
        </w:rPr>
      </w:pPr>
      <w:r w:rsidRPr="002D11B4">
        <w:rPr>
          <w:rFonts w:cs="Times New Roman"/>
          <w:sz w:val="24"/>
          <w:szCs w:val="24"/>
        </w:rPr>
        <w:t xml:space="preserve"> – Рассмотрены основные тенденции развития цифровой экономики. Результаты проведенного исследования позволяют оценить направления информатизации, а также существенно повысить качество обоснования перспектив развития с учетом выявленных трендов и имеющегося потенциала роста. Материалы исследования могут служить информационной основой для принятия управленческих решений по развитию национальной цифровой экономики.</w:t>
      </w:r>
    </w:p>
    <w:p w:rsidR="00482291" w:rsidRPr="002D11B4" w:rsidRDefault="00482291" w:rsidP="00482291">
      <w:pPr>
        <w:rPr>
          <w:rFonts w:cs="Times New Roman"/>
          <w:sz w:val="24"/>
          <w:szCs w:val="24"/>
        </w:rPr>
      </w:pPr>
    </w:p>
    <w:p w:rsidR="001A1974" w:rsidRPr="002D11B4" w:rsidRDefault="001A1974" w:rsidP="00482291">
      <w:pPr>
        <w:rPr>
          <w:rFonts w:cs="Times New Roman"/>
          <w:sz w:val="24"/>
          <w:szCs w:val="24"/>
        </w:rPr>
      </w:pPr>
    </w:p>
    <w:p w:rsidR="00482291" w:rsidRPr="002D11B4" w:rsidRDefault="002D11B4" w:rsidP="00482291">
      <w:pPr>
        <w:rPr>
          <w:rFonts w:cs="Times New Roman"/>
          <w:sz w:val="24"/>
          <w:szCs w:val="24"/>
        </w:rPr>
      </w:pPr>
      <w:r>
        <w:rPr>
          <w:rFonts w:cs="Times New Roman"/>
          <w:sz w:val="24"/>
          <w:szCs w:val="24"/>
        </w:rPr>
        <w:t>16</w:t>
      </w:r>
      <w:r w:rsidR="00482291" w:rsidRPr="002D11B4">
        <w:rPr>
          <w:rFonts w:cs="Times New Roman"/>
          <w:sz w:val="24"/>
          <w:szCs w:val="24"/>
        </w:rPr>
        <w:t>. Портнягина, М.</w:t>
      </w:r>
    </w:p>
    <w:p w:rsidR="00482291" w:rsidRPr="002D11B4" w:rsidRDefault="00482291" w:rsidP="00482291">
      <w:pPr>
        <w:rPr>
          <w:rFonts w:cs="Times New Roman"/>
          <w:sz w:val="24"/>
          <w:szCs w:val="24"/>
        </w:rPr>
      </w:pPr>
      <w:r w:rsidRPr="002D11B4">
        <w:rPr>
          <w:rFonts w:cs="Times New Roman"/>
          <w:sz w:val="24"/>
          <w:szCs w:val="24"/>
        </w:rPr>
        <w:t xml:space="preserve">    Малолетний ресурс: несовершеннолетние россияне все активнее вовлекаются в реальную экономику / М. Портнягина // Огонек. – 2017. – № 46. – С. 26-27</w:t>
      </w:r>
    </w:p>
    <w:p w:rsidR="00482291" w:rsidRPr="002D11B4" w:rsidRDefault="00482291" w:rsidP="00CE3EB5">
      <w:pPr>
        <w:rPr>
          <w:rFonts w:cs="Times New Roman"/>
          <w:sz w:val="24"/>
          <w:szCs w:val="24"/>
        </w:rPr>
      </w:pPr>
      <w:r w:rsidRPr="002D11B4">
        <w:rPr>
          <w:rFonts w:cs="Times New Roman"/>
          <w:sz w:val="24"/>
          <w:szCs w:val="24"/>
        </w:rPr>
        <w:t xml:space="preserve"> </w:t>
      </w:r>
    </w:p>
    <w:p w:rsidR="00482291" w:rsidRPr="002D11B4" w:rsidRDefault="00482291" w:rsidP="00482291">
      <w:pPr>
        <w:rPr>
          <w:rFonts w:cs="Times New Roman"/>
          <w:sz w:val="24"/>
          <w:szCs w:val="24"/>
        </w:rPr>
      </w:pPr>
    </w:p>
    <w:p w:rsidR="002D11B4" w:rsidRDefault="002D11B4" w:rsidP="00482291">
      <w:pPr>
        <w:rPr>
          <w:rFonts w:cs="Times New Roman"/>
          <w:sz w:val="24"/>
          <w:szCs w:val="24"/>
        </w:rPr>
      </w:pPr>
    </w:p>
    <w:p w:rsidR="00482291" w:rsidRPr="002D11B4" w:rsidRDefault="002D11B4" w:rsidP="00482291">
      <w:pPr>
        <w:rPr>
          <w:rFonts w:cs="Times New Roman"/>
          <w:sz w:val="24"/>
          <w:szCs w:val="24"/>
        </w:rPr>
      </w:pPr>
      <w:r>
        <w:rPr>
          <w:rFonts w:cs="Times New Roman"/>
          <w:sz w:val="24"/>
          <w:szCs w:val="24"/>
        </w:rPr>
        <w:t>17</w:t>
      </w:r>
      <w:r w:rsidR="00482291" w:rsidRPr="002D11B4">
        <w:rPr>
          <w:rFonts w:cs="Times New Roman"/>
          <w:sz w:val="24"/>
          <w:szCs w:val="24"/>
        </w:rPr>
        <w:t>. Розе, Н. Ш.</w:t>
      </w:r>
    </w:p>
    <w:p w:rsidR="00482291" w:rsidRPr="002D11B4" w:rsidRDefault="00482291" w:rsidP="00482291">
      <w:pPr>
        <w:rPr>
          <w:rFonts w:cs="Times New Roman"/>
          <w:sz w:val="24"/>
          <w:szCs w:val="24"/>
        </w:rPr>
      </w:pPr>
      <w:r w:rsidRPr="002D11B4">
        <w:rPr>
          <w:rFonts w:cs="Times New Roman"/>
          <w:sz w:val="24"/>
          <w:szCs w:val="24"/>
        </w:rPr>
        <w:t xml:space="preserve">    Сравнительный анализ партисипаторного бюджетирования в городских и сельских муниципалитетах / Н. Ш. Розе, А. В. Куликов // Дискуссия. – 2017. – октябрь (№ 9). – С. 48-57</w:t>
      </w:r>
    </w:p>
    <w:p w:rsidR="00482291" w:rsidRPr="002D11B4" w:rsidRDefault="00482291" w:rsidP="00482291">
      <w:pPr>
        <w:rPr>
          <w:rFonts w:cs="Times New Roman"/>
          <w:sz w:val="24"/>
          <w:szCs w:val="24"/>
        </w:rPr>
      </w:pPr>
      <w:r w:rsidRPr="002D11B4">
        <w:rPr>
          <w:rFonts w:cs="Times New Roman"/>
          <w:sz w:val="24"/>
          <w:szCs w:val="24"/>
        </w:rPr>
        <w:t xml:space="preserve"> – В статье рассмотрены особенности реализации программ вовлечения городского населения в процессы распределения бюджетных средств, основанных на непосредственном участии граждан в принятии управленческих решений. Представлены практики инициативного и партисипаторного бюджетирования, использующиеся на </w:t>
      </w:r>
      <w:r w:rsidRPr="002D11B4">
        <w:rPr>
          <w:rFonts w:cs="Times New Roman"/>
          <w:sz w:val="24"/>
          <w:szCs w:val="24"/>
        </w:rPr>
        <w:lastRenderedPageBreak/>
        <w:t>территории Российской Федерации, отличия и особенности проектирования и реализации данных практик в сельских поселениях и в городах. Подробно рассмотрены опыт Республики Башкортостан по реализации конкурсного отбора проектов развития общественной инфраструктуры, основанных на местных инициативах, в городских округах; основные критерии и требования к конкурсным заявкам; типология проектов, выбранных населением; административно-территориальный состав участников.</w:t>
      </w:r>
    </w:p>
    <w:p w:rsidR="00CE3EB5" w:rsidRPr="002D11B4" w:rsidRDefault="00CE3EB5" w:rsidP="00482291">
      <w:pPr>
        <w:rPr>
          <w:rFonts w:cs="Times New Roman"/>
          <w:sz w:val="24"/>
          <w:szCs w:val="24"/>
        </w:rPr>
      </w:pPr>
    </w:p>
    <w:p w:rsidR="00482291" w:rsidRPr="002D11B4" w:rsidRDefault="00482291" w:rsidP="00482291">
      <w:pPr>
        <w:rPr>
          <w:rFonts w:cs="Times New Roman"/>
          <w:sz w:val="24"/>
          <w:szCs w:val="24"/>
        </w:rPr>
      </w:pPr>
    </w:p>
    <w:p w:rsidR="00482291" w:rsidRPr="002D11B4" w:rsidRDefault="00482291" w:rsidP="00482291">
      <w:pPr>
        <w:rPr>
          <w:rFonts w:cs="Times New Roman"/>
          <w:sz w:val="24"/>
          <w:szCs w:val="24"/>
        </w:rPr>
      </w:pPr>
    </w:p>
    <w:p w:rsidR="00254AE2" w:rsidRPr="002D11B4" w:rsidRDefault="00254AE2" w:rsidP="00254AE2">
      <w:pPr>
        <w:rPr>
          <w:rFonts w:cs="Times New Roman"/>
          <w:sz w:val="24"/>
          <w:szCs w:val="24"/>
        </w:rPr>
      </w:pPr>
      <w:r w:rsidRPr="002D11B4">
        <w:rPr>
          <w:rFonts w:cs="Times New Roman"/>
          <w:sz w:val="24"/>
          <w:szCs w:val="24"/>
        </w:rPr>
        <w:t>1</w:t>
      </w:r>
      <w:r w:rsidR="002D11B4">
        <w:rPr>
          <w:rFonts w:cs="Times New Roman"/>
          <w:sz w:val="24"/>
          <w:szCs w:val="24"/>
        </w:rPr>
        <w:t>8</w:t>
      </w:r>
      <w:r w:rsidRPr="002D11B4">
        <w:rPr>
          <w:rFonts w:cs="Times New Roman"/>
          <w:sz w:val="24"/>
          <w:szCs w:val="24"/>
        </w:rPr>
        <w:t>. Анисимов, Р. И.</w:t>
      </w:r>
    </w:p>
    <w:p w:rsidR="00254AE2" w:rsidRPr="002D11B4" w:rsidRDefault="00254AE2" w:rsidP="00254AE2">
      <w:pPr>
        <w:rPr>
          <w:rFonts w:cs="Times New Roman"/>
          <w:sz w:val="24"/>
          <w:szCs w:val="24"/>
        </w:rPr>
      </w:pPr>
      <w:r w:rsidRPr="002D11B4">
        <w:rPr>
          <w:rFonts w:cs="Times New Roman"/>
          <w:sz w:val="24"/>
          <w:szCs w:val="24"/>
        </w:rPr>
        <w:t xml:space="preserve">    Труд в эпоху неопределенности / Р. И. Анисимов // Социологические исследования. – 2017. – № 11. – С. 44-52</w:t>
      </w:r>
    </w:p>
    <w:p w:rsidR="00254AE2" w:rsidRDefault="00254AE2" w:rsidP="00254AE2">
      <w:pPr>
        <w:rPr>
          <w:rFonts w:cs="Times New Roman"/>
          <w:sz w:val="24"/>
          <w:szCs w:val="24"/>
        </w:rPr>
      </w:pPr>
      <w:r w:rsidRPr="002D11B4">
        <w:rPr>
          <w:rFonts w:cs="Times New Roman"/>
          <w:sz w:val="24"/>
          <w:szCs w:val="24"/>
        </w:rPr>
        <w:t xml:space="preserve"> – В статье рассматриваются концепции, посвященные росту неопределенности трудовых отношений в современном обществе. Проанализирован западный и российский опыт изучения этой проблемы.</w:t>
      </w:r>
    </w:p>
    <w:p w:rsidR="002D11B4" w:rsidRDefault="002D11B4" w:rsidP="00254AE2">
      <w:pPr>
        <w:rPr>
          <w:rFonts w:cs="Times New Roman"/>
          <w:sz w:val="24"/>
          <w:szCs w:val="24"/>
        </w:rPr>
      </w:pPr>
    </w:p>
    <w:p w:rsidR="002D11B4" w:rsidRPr="002D11B4" w:rsidRDefault="002D11B4" w:rsidP="00254AE2">
      <w:pPr>
        <w:rPr>
          <w:rFonts w:cs="Times New Roman"/>
          <w:sz w:val="24"/>
          <w:szCs w:val="24"/>
        </w:rPr>
      </w:pPr>
    </w:p>
    <w:p w:rsidR="00254AE2" w:rsidRPr="002D11B4" w:rsidRDefault="002D11B4" w:rsidP="00254AE2">
      <w:pPr>
        <w:rPr>
          <w:rFonts w:cs="Times New Roman"/>
          <w:sz w:val="24"/>
          <w:szCs w:val="24"/>
        </w:rPr>
      </w:pPr>
      <w:r>
        <w:rPr>
          <w:rFonts w:cs="Times New Roman"/>
          <w:sz w:val="24"/>
          <w:szCs w:val="24"/>
        </w:rPr>
        <w:t>19</w:t>
      </w:r>
      <w:r w:rsidR="00254AE2" w:rsidRPr="002D11B4">
        <w:rPr>
          <w:rFonts w:cs="Times New Roman"/>
          <w:sz w:val="24"/>
          <w:szCs w:val="24"/>
        </w:rPr>
        <w:t>. Иванов, В. Н.</w:t>
      </w:r>
    </w:p>
    <w:p w:rsidR="00254AE2" w:rsidRDefault="00254AE2" w:rsidP="00254AE2">
      <w:pPr>
        <w:rPr>
          <w:rFonts w:cs="Times New Roman"/>
          <w:sz w:val="24"/>
          <w:szCs w:val="24"/>
        </w:rPr>
      </w:pPr>
      <w:r w:rsidRPr="002D11B4">
        <w:rPr>
          <w:rFonts w:cs="Times New Roman"/>
          <w:sz w:val="24"/>
          <w:szCs w:val="24"/>
        </w:rPr>
        <w:t xml:space="preserve">    Феномен старости / В. Н. Иванов // Социологические исследования. – 2017. – № 11. – С. 164-170</w:t>
      </w:r>
    </w:p>
    <w:p w:rsidR="007060F7" w:rsidRPr="002D11B4" w:rsidRDefault="007060F7" w:rsidP="00254AE2">
      <w:pPr>
        <w:rPr>
          <w:rFonts w:cs="Times New Roman"/>
          <w:sz w:val="24"/>
          <w:szCs w:val="24"/>
        </w:rPr>
      </w:pPr>
    </w:p>
    <w:p w:rsidR="00254AE2" w:rsidRPr="002D11B4" w:rsidRDefault="00254AE2" w:rsidP="00254AE2">
      <w:pPr>
        <w:rPr>
          <w:rFonts w:cs="Times New Roman"/>
          <w:sz w:val="24"/>
          <w:szCs w:val="24"/>
        </w:rPr>
      </w:pPr>
      <w:r w:rsidRPr="002D11B4">
        <w:rPr>
          <w:rFonts w:cs="Times New Roman"/>
          <w:sz w:val="24"/>
          <w:szCs w:val="24"/>
        </w:rPr>
        <w:t xml:space="preserve"> – Автор на основе анализа полученных в ходе социологических исследований, проведенных его коллегами и им лично, данных приходит к выводам и обобщениям, позволяющих увидеть реальные проблемы пожилых людей и наметить пути их успешного решения.</w:t>
      </w:r>
    </w:p>
    <w:p w:rsidR="00254AE2" w:rsidRPr="002D11B4" w:rsidRDefault="00254AE2" w:rsidP="00CE3EB5">
      <w:pPr>
        <w:rPr>
          <w:rFonts w:cs="Times New Roman"/>
          <w:sz w:val="24"/>
          <w:szCs w:val="24"/>
        </w:rPr>
      </w:pPr>
      <w:r w:rsidRPr="002D11B4">
        <w:rPr>
          <w:rFonts w:cs="Times New Roman"/>
          <w:sz w:val="24"/>
          <w:szCs w:val="24"/>
        </w:rPr>
        <w:t xml:space="preserve"> </w:t>
      </w:r>
    </w:p>
    <w:p w:rsidR="00254AE2" w:rsidRPr="002D11B4" w:rsidRDefault="00254AE2" w:rsidP="00254AE2">
      <w:pPr>
        <w:rPr>
          <w:rFonts w:cs="Times New Roman"/>
          <w:sz w:val="24"/>
          <w:szCs w:val="24"/>
        </w:rPr>
      </w:pPr>
    </w:p>
    <w:p w:rsidR="00254AE2" w:rsidRPr="002D11B4" w:rsidRDefault="002D11B4" w:rsidP="00254AE2">
      <w:pPr>
        <w:rPr>
          <w:rFonts w:cs="Times New Roman"/>
          <w:sz w:val="24"/>
          <w:szCs w:val="24"/>
        </w:rPr>
      </w:pPr>
      <w:r>
        <w:rPr>
          <w:rFonts w:cs="Times New Roman"/>
          <w:sz w:val="24"/>
          <w:szCs w:val="24"/>
        </w:rPr>
        <w:t>20</w:t>
      </w:r>
      <w:r w:rsidR="00254AE2" w:rsidRPr="002D11B4">
        <w:rPr>
          <w:rFonts w:cs="Times New Roman"/>
          <w:sz w:val="24"/>
          <w:szCs w:val="24"/>
        </w:rPr>
        <w:t>. Минина, Т.</w:t>
      </w:r>
    </w:p>
    <w:p w:rsidR="00254AE2" w:rsidRDefault="00254AE2" w:rsidP="00254AE2">
      <w:pPr>
        <w:rPr>
          <w:rFonts w:cs="Times New Roman"/>
          <w:sz w:val="24"/>
          <w:szCs w:val="24"/>
        </w:rPr>
      </w:pPr>
      <w:r w:rsidRPr="002D11B4">
        <w:rPr>
          <w:rFonts w:cs="Times New Roman"/>
          <w:sz w:val="24"/>
          <w:szCs w:val="24"/>
        </w:rPr>
        <w:t xml:space="preserve">    Субнациональные стабилизационные фонды как средство повышения эффективности публичных финансов / Т. Минина, В. Скалкин // Финансовый бизнес. – 2017. – № 5. – С. 41-54</w:t>
      </w:r>
    </w:p>
    <w:p w:rsidR="007060F7" w:rsidRPr="002D11B4" w:rsidRDefault="007060F7" w:rsidP="00254AE2">
      <w:pPr>
        <w:rPr>
          <w:rFonts w:cs="Times New Roman"/>
          <w:sz w:val="24"/>
          <w:szCs w:val="24"/>
        </w:rPr>
      </w:pPr>
    </w:p>
    <w:p w:rsidR="00254AE2" w:rsidRPr="002D11B4" w:rsidRDefault="00254AE2" w:rsidP="00254AE2">
      <w:pPr>
        <w:rPr>
          <w:rFonts w:cs="Times New Roman"/>
          <w:sz w:val="24"/>
          <w:szCs w:val="24"/>
        </w:rPr>
      </w:pPr>
      <w:r w:rsidRPr="002D11B4">
        <w:rPr>
          <w:rFonts w:cs="Times New Roman"/>
          <w:sz w:val="24"/>
          <w:szCs w:val="24"/>
        </w:rPr>
        <w:t xml:space="preserve"> – В статье рассматриваются предложения по совершенствованию бюджетной системы и межбюджетных отношений РФ на основе включения в финансовую систему РФ субнациональных стабилизационных фондов. Предусматривается создание ряда разных по уровню, назначению, использованию фондов - межрегиональных, стабилизационных фондов. Данные предложения позволяют уйти от планово-затратной системы функционирования субъектов, повысить хозяйственную самостоятельность и финансовую независимость.</w:t>
      </w:r>
    </w:p>
    <w:p w:rsidR="00254AE2" w:rsidRPr="002D11B4" w:rsidRDefault="00254AE2" w:rsidP="00CE3EB5">
      <w:pPr>
        <w:rPr>
          <w:rFonts w:cs="Times New Roman"/>
          <w:sz w:val="24"/>
          <w:szCs w:val="24"/>
        </w:rPr>
      </w:pPr>
      <w:r w:rsidRPr="002D11B4">
        <w:rPr>
          <w:rFonts w:cs="Times New Roman"/>
          <w:sz w:val="24"/>
          <w:szCs w:val="24"/>
        </w:rPr>
        <w:t xml:space="preserve"> </w:t>
      </w:r>
    </w:p>
    <w:p w:rsidR="00254AE2" w:rsidRPr="002D11B4" w:rsidRDefault="00254AE2" w:rsidP="00254AE2">
      <w:pPr>
        <w:rPr>
          <w:rFonts w:cs="Times New Roman"/>
          <w:sz w:val="24"/>
          <w:szCs w:val="24"/>
        </w:rPr>
      </w:pPr>
    </w:p>
    <w:p w:rsidR="00254AE2" w:rsidRPr="002D11B4" w:rsidRDefault="002D11B4" w:rsidP="00254AE2">
      <w:pPr>
        <w:rPr>
          <w:rFonts w:cs="Times New Roman"/>
          <w:sz w:val="24"/>
          <w:szCs w:val="24"/>
        </w:rPr>
      </w:pPr>
      <w:r>
        <w:rPr>
          <w:rFonts w:cs="Times New Roman"/>
          <w:sz w:val="24"/>
          <w:szCs w:val="24"/>
        </w:rPr>
        <w:t>2</w:t>
      </w:r>
      <w:r w:rsidR="00254AE2" w:rsidRPr="002D11B4">
        <w:rPr>
          <w:rFonts w:cs="Times New Roman"/>
          <w:sz w:val="24"/>
          <w:szCs w:val="24"/>
        </w:rPr>
        <w:t>1. Федорова, Т.</w:t>
      </w:r>
    </w:p>
    <w:p w:rsidR="00254AE2" w:rsidRDefault="00254AE2" w:rsidP="00254AE2">
      <w:pPr>
        <w:rPr>
          <w:rFonts w:cs="Times New Roman"/>
          <w:sz w:val="24"/>
          <w:szCs w:val="24"/>
        </w:rPr>
      </w:pPr>
      <w:r w:rsidRPr="002D11B4">
        <w:rPr>
          <w:rFonts w:cs="Times New Roman"/>
          <w:sz w:val="24"/>
          <w:szCs w:val="24"/>
        </w:rPr>
        <w:t xml:space="preserve">    Новые финансовые технологии в платежах и расчетах: тенденции и проблемы развития / Т. Федорова // Страховое дело. – 2017. – № 10. – С. 34-46</w:t>
      </w:r>
    </w:p>
    <w:p w:rsidR="007060F7" w:rsidRPr="002D11B4" w:rsidRDefault="007060F7" w:rsidP="00254AE2">
      <w:pPr>
        <w:rPr>
          <w:rFonts w:cs="Times New Roman"/>
          <w:sz w:val="24"/>
          <w:szCs w:val="24"/>
        </w:rPr>
      </w:pPr>
    </w:p>
    <w:p w:rsidR="00254AE2" w:rsidRDefault="00254AE2" w:rsidP="00254AE2">
      <w:pPr>
        <w:rPr>
          <w:rFonts w:cs="Times New Roman"/>
          <w:sz w:val="24"/>
          <w:szCs w:val="24"/>
        </w:rPr>
      </w:pPr>
      <w:r w:rsidRPr="002D11B4">
        <w:rPr>
          <w:rFonts w:cs="Times New Roman"/>
          <w:sz w:val="24"/>
          <w:szCs w:val="24"/>
        </w:rPr>
        <w:t xml:space="preserve"> – В статье рассматриваются тенденции и перспективы развития электронных технологий в платежах и расчетах. Приведена классификация электронных платежных систем (ЭПС), проанализированы особенности и алгоритмы работы децентрализованных ЭПС, основанных на технологиях блокчейна. Дана характеристика типов ЭПС </w:t>
      </w:r>
      <w:proofErr w:type="spellStart"/>
      <w:r w:rsidRPr="002D11B4">
        <w:rPr>
          <w:rFonts w:cs="Times New Roman"/>
          <w:sz w:val="24"/>
          <w:szCs w:val="24"/>
        </w:rPr>
        <w:t>ФинТеха</w:t>
      </w:r>
      <w:proofErr w:type="spellEnd"/>
      <w:r w:rsidRPr="002D11B4">
        <w:rPr>
          <w:rFonts w:cs="Times New Roman"/>
          <w:sz w:val="24"/>
          <w:szCs w:val="24"/>
        </w:rPr>
        <w:t xml:space="preserve"> и раскрыты особенности функционирования криптовалют на денежном рынке. Исследованы основные проблемы практического использования криптовалют, связанные с их уходом в сферу валютных спекуляций и ICO.</w:t>
      </w:r>
    </w:p>
    <w:p w:rsidR="00254AE2" w:rsidRPr="002D11B4" w:rsidRDefault="007A5917" w:rsidP="00254AE2">
      <w:pPr>
        <w:rPr>
          <w:rFonts w:cs="Times New Roman"/>
          <w:sz w:val="24"/>
          <w:szCs w:val="24"/>
        </w:rPr>
      </w:pPr>
      <w:r>
        <w:rPr>
          <w:rFonts w:cs="Times New Roman"/>
          <w:sz w:val="24"/>
          <w:szCs w:val="24"/>
        </w:rPr>
        <w:lastRenderedPageBreak/>
        <w:t>22</w:t>
      </w:r>
      <w:r w:rsidR="00254AE2" w:rsidRPr="002D11B4">
        <w:rPr>
          <w:rFonts w:cs="Times New Roman"/>
          <w:sz w:val="24"/>
          <w:szCs w:val="24"/>
        </w:rPr>
        <w:t>. Голосов, Д.</w:t>
      </w:r>
    </w:p>
    <w:p w:rsidR="00254AE2" w:rsidRDefault="00254AE2" w:rsidP="00254AE2">
      <w:pPr>
        <w:rPr>
          <w:rFonts w:cs="Times New Roman"/>
          <w:sz w:val="24"/>
          <w:szCs w:val="24"/>
        </w:rPr>
      </w:pPr>
      <w:r w:rsidRPr="002D11B4">
        <w:rPr>
          <w:rFonts w:cs="Times New Roman"/>
          <w:sz w:val="24"/>
          <w:szCs w:val="24"/>
        </w:rPr>
        <w:t xml:space="preserve">    Площадка, где возможно все / Д. Голосов; [беседовала] М. Линдт // Эксперт. – 2017. – № 47. – С. 60-61</w:t>
      </w:r>
    </w:p>
    <w:p w:rsidR="007060F7" w:rsidRPr="002D11B4" w:rsidRDefault="007060F7" w:rsidP="00254AE2">
      <w:pPr>
        <w:rPr>
          <w:rFonts w:cs="Times New Roman"/>
          <w:sz w:val="24"/>
          <w:szCs w:val="24"/>
        </w:rPr>
      </w:pPr>
    </w:p>
    <w:p w:rsidR="00254AE2" w:rsidRPr="002D11B4" w:rsidRDefault="00254AE2" w:rsidP="00254AE2">
      <w:pPr>
        <w:rPr>
          <w:rFonts w:cs="Times New Roman"/>
          <w:sz w:val="24"/>
          <w:szCs w:val="24"/>
        </w:rPr>
      </w:pPr>
      <w:r w:rsidRPr="002D11B4">
        <w:rPr>
          <w:rFonts w:cs="Times New Roman"/>
          <w:sz w:val="24"/>
          <w:szCs w:val="24"/>
        </w:rPr>
        <w:t xml:space="preserve"> – О том, нужны ли России особые экономические зоны и об их эффективности "Эксперту" рассказал заместитель генерального директора РосОЭЗ Дмитрий Голосов.</w:t>
      </w:r>
    </w:p>
    <w:p w:rsidR="00254AE2" w:rsidRDefault="00254AE2" w:rsidP="00254AE2">
      <w:pPr>
        <w:rPr>
          <w:rFonts w:cs="Times New Roman"/>
          <w:sz w:val="24"/>
          <w:szCs w:val="24"/>
        </w:rPr>
      </w:pPr>
    </w:p>
    <w:p w:rsidR="007A5917" w:rsidRPr="002D11B4" w:rsidRDefault="007A5917" w:rsidP="00254AE2">
      <w:pPr>
        <w:rPr>
          <w:rFonts w:cs="Times New Roman"/>
          <w:sz w:val="24"/>
          <w:szCs w:val="24"/>
        </w:rPr>
      </w:pPr>
    </w:p>
    <w:p w:rsidR="00254AE2" w:rsidRPr="002D11B4" w:rsidRDefault="007A5917" w:rsidP="00254AE2">
      <w:pPr>
        <w:rPr>
          <w:rFonts w:cs="Times New Roman"/>
          <w:sz w:val="24"/>
          <w:szCs w:val="24"/>
        </w:rPr>
      </w:pPr>
      <w:r>
        <w:rPr>
          <w:rFonts w:cs="Times New Roman"/>
          <w:sz w:val="24"/>
          <w:szCs w:val="24"/>
        </w:rPr>
        <w:t>23</w:t>
      </w:r>
      <w:r w:rsidR="00254AE2" w:rsidRPr="002D11B4">
        <w:rPr>
          <w:rFonts w:cs="Times New Roman"/>
          <w:sz w:val="24"/>
          <w:szCs w:val="24"/>
        </w:rPr>
        <w:t>. Калиниченко, М.</w:t>
      </w:r>
    </w:p>
    <w:p w:rsidR="00254AE2" w:rsidRDefault="00254AE2" w:rsidP="00254AE2">
      <w:pPr>
        <w:rPr>
          <w:rFonts w:cs="Times New Roman"/>
          <w:sz w:val="24"/>
          <w:szCs w:val="24"/>
        </w:rPr>
      </w:pPr>
      <w:r w:rsidRPr="002D11B4">
        <w:rPr>
          <w:rFonts w:cs="Times New Roman"/>
          <w:sz w:val="24"/>
          <w:szCs w:val="24"/>
        </w:rPr>
        <w:t xml:space="preserve">    Удалось заинтересовать / М. Калиниченко // Эксперт. – 2017. – № 47. – С. 62-66</w:t>
      </w:r>
    </w:p>
    <w:p w:rsidR="007060F7" w:rsidRPr="002D11B4" w:rsidRDefault="007060F7" w:rsidP="00254AE2">
      <w:pPr>
        <w:rPr>
          <w:rFonts w:cs="Times New Roman"/>
          <w:sz w:val="24"/>
          <w:szCs w:val="24"/>
        </w:rPr>
      </w:pPr>
    </w:p>
    <w:p w:rsidR="00BC5377" w:rsidRPr="002D11B4" w:rsidRDefault="00254AE2" w:rsidP="00254AE2">
      <w:pPr>
        <w:rPr>
          <w:rFonts w:cs="Times New Roman"/>
          <w:sz w:val="24"/>
          <w:szCs w:val="24"/>
        </w:rPr>
      </w:pPr>
      <w:r w:rsidRPr="002D11B4">
        <w:rPr>
          <w:rFonts w:cs="Times New Roman"/>
          <w:sz w:val="24"/>
          <w:szCs w:val="24"/>
        </w:rPr>
        <w:t xml:space="preserve"> – Особые экономические зоны все более востребованы у инвесторов, причем</w:t>
      </w:r>
      <w:r w:rsidR="00BC5377" w:rsidRPr="002D11B4">
        <w:rPr>
          <w:rFonts w:cs="Times New Roman"/>
          <w:sz w:val="24"/>
          <w:szCs w:val="24"/>
        </w:rPr>
        <w:t>,</w:t>
      </w:r>
      <w:r w:rsidRPr="002D11B4">
        <w:rPr>
          <w:rFonts w:cs="Times New Roman"/>
          <w:sz w:val="24"/>
          <w:szCs w:val="24"/>
        </w:rPr>
        <w:t xml:space="preserve"> </w:t>
      </w:r>
      <w:r w:rsidR="00CE3EB5" w:rsidRPr="002D11B4">
        <w:rPr>
          <w:rFonts w:cs="Times New Roman"/>
          <w:sz w:val="24"/>
          <w:szCs w:val="24"/>
        </w:rPr>
        <w:t>не</w:t>
      </w:r>
      <w:r w:rsidRPr="002D11B4">
        <w:rPr>
          <w:rFonts w:cs="Times New Roman"/>
          <w:sz w:val="24"/>
          <w:szCs w:val="24"/>
        </w:rPr>
        <w:t xml:space="preserve"> только российских, но и зарубежных. Государство дает четкий сигнал, что готово и дальше развивать сотрудничество в этом направлении.</w:t>
      </w:r>
    </w:p>
    <w:p w:rsidR="00254AE2" w:rsidRPr="002D11B4" w:rsidRDefault="00254AE2" w:rsidP="00254AE2">
      <w:pPr>
        <w:rPr>
          <w:rFonts w:cs="Times New Roman"/>
          <w:sz w:val="24"/>
          <w:szCs w:val="24"/>
        </w:rPr>
      </w:pPr>
    </w:p>
    <w:p w:rsidR="00254AE2" w:rsidRPr="002D11B4" w:rsidRDefault="00254AE2" w:rsidP="00254AE2">
      <w:pPr>
        <w:rPr>
          <w:rFonts w:cs="Times New Roman"/>
          <w:sz w:val="24"/>
          <w:szCs w:val="24"/>
        </w:rPr>
      </w:pPr>
    </w:p>
    <w:p w:rsidR="00254AE2" w:rsidRPr="002D11B4" w:rsidRDefault="007A5917" w:rsidP="00254AE2">
      <w:pPr>
        <w:rPr>
          <w:rFonts w:cs="Times New Roman"/>
          <w:sz w:val="24"/>
          <w:szCs w:val="24"/>
        </w:rPr>
      </w:pPr>
      <w:r>
        <w:rPr>
          <w:rFonts w:cs="Times New Roman"/>
          <w:sz w:val="24"/>
          <w:szCs w:val="24"/>
        </w:rPr>
        <w:t>24</w:t>
      </w:r>
      <w:r w:rsidR="00254AE2" w:rsidRPr="002D11B4">
        <w:rPr>
          <w:rFonts w:cs="Times New Roman"/>
          <w:sz w:val="24"/>
          <w:szCs w:val="24"/>
        </w:rPr>
        <w:t>. Хуснуллин, М.</w:t>
      </w:r>
    </w:p>
    <w:p w:rsidR="00254AE2" w:rsidRDefault="00254AE2" w:rsidP="00254AE2">
      <w:pPr>
        <w:rPr>
          <w:rFonts w:cs="Times New Roman"/>
          <w:sz w:val="24"/>
          <w:szCs w:val="24"/>
        </w:rPr>
      </w:pPr>
      <w:r w:rsidRPr="002D11B4">
        <w:rPr>
          <w:rFonts w:cs="Times New Roman"/>
          <w:sz w:val="24"/>
          <w:szCs w:val="24"/>
        </w:rPr>
        <w:t xml:space="preserve">    "Весь мир к нам будет ездить учиться реновации" / М. Хуснуллин; [беседовали]: Т. Гурова, А. Щукин // Эксперт. – 2017. – № 47. – С. 22-27</w:t>
      </w:r>
    </w:p>
    <w:p w:rsidR="007060F7" w:rsidRPr="002D11B4" w:rsidRDefault="007060F7" w:rsidP="00254AE2">
      <w:pPr>
        <w:rPr>
          <w:rFonts w:cs="Times New Roman"/>
          <w:sz w:val="24"/>
          <w:szCs w:val="24"/>
        </w:rPr>
      </w:pPr>
    </w:p>
    <w:p w:rsidR="00254AE2" w:rsidRPr="002D11B4" w:rsidRDefault="00254AE2" w:rsidP="00254AE2">
      <w:pPr>
        <w:rPr>
          <w:rFonts w:cs="Times New Roman"/>
          <w:sz w:val="24"/>
          <w:szCs w:val="24"/>
        </w:rPr>
      </w:pPr>
      <w:r w:rsidRPr="002D11B4">
        <w:rPr>
          <w:rFonts w:cs="Times New Roman"/>
          <w:sz w:val="24"/>
          <w:szCs w:val="24"/>
        </w:rPr>
        <w:t xml:space="preserve"> – "Изучив весь мировой опыт по частям, видим, что пока только мы решились внутри мегаполиса взять и перестроить большую часть города, чтобы решить жилищные проблемы более миллиона человек". Интервью с заместителем мэра Москвы в правительстве Москвы по вопросам градостроительной политики и строительства Маратом Хуснуллиным.</w:t>
      </w:r>
    </w:p>
    <w:p w:rsidR="00254AE2" w:rsidRPr="002D11B4" w:rsidRDefault="00254AE2" w:rsidP="00BC5377">
      <w:pPr>
        <w:rPr>
          <w:rFonts w:cs="Times New Roman"/>
          <w:sz w:val="24"/>
          <w:szCs w:val="24"/>
        </w:rPr>
      </w:pPr>
      <w:r w:rsidRPr="002D11B4">
        <w:rPr>
          <w:rFonts w:cs="Times New Roman"/>
          <w:sz w:val="24"/>
          <w:szCs w:val="24"/>
        </w:rPr>
        <w:t xml:space="preserve"> </w:t>
      </w:r>
    </w:p>
    <w:p w:rsidR="00254AE2" w:rsidRPr="002D11B4" w:rsidRDefault="00254AE2" w:rsidP="00254AE2">
      <w:pPr>
        <w:rPr>
          <w:rFonts w:cs="Times New Roman"/>
          <w:sz w:val="24"/>
          <w:szCs w:val="24"/>
        </w:rPr>
      </w:pPr>
    </w:p>
    <w:p w:rsidR="00254AE2" w:rsidRPr="002D11B4" w:rsidRDefault="007A5917" w:rsidP="00254AE2">
      <w:pPr>
        <w:rPr>
          <w:rFonts w:cs="Times New Roman"/>
          <w:sz w:val="24"/>
          <w:szCs w:val="24"/>
        </w:rPr>
      </w:pPr>
      <w:r>
        <w:rPr>
          <w:rFonts w:cs="Times New Roman"/>
          <w:sz w:val="24"/>
          <w:szCs w:val="24"/>
        </w:rPr>
        <w:t>25</w:t>
      </w:r>
      <w:r w:rsidR="00254AE2" w:rsidRPr="002D11B4">
        <w:rPr>
          <w:rFonts w:cs="Times New Roman"/>
          <w:sz w:val="24"/>
          <w:szCs w:val="24"/>
        </w:rPr>
        <w:t>.  Связь между развитием экономики и субъективным ощущением счастья // Экономика и управление в зарубежных стр</w:t>
      </w:r>
      <w:r w:rsidR="00BC5377" w:rsidRPr="002D11B4">
        <w:rPr>
          <w:rFonts w:cs="Times New Roman"/>
          <w:sz w:val="24"/>
          <w:szCs w:val="24"/>
        </w:rPr>
        <w:t>анах. – 2017. – № 11. – С. 3-11</w:t>
      </w:r>
    </w:p>
    <w:p w:rsidR="00BC5377" w:rsidRPr="002D11B4" w:rsidRDefault="00BC5377" w:rsidP="00254AE2">
      <w:pPr>
        <w:rPr>
          <w:rFonts w:cs="Times New Roman"/>
          <w:sz w:val="24"/>
          <w:szCs w:val="24"/>
        </w:rPr>
      </w:pPr>
    </w:p>
    <w:p w:rsidR="00254AE2" w:rsidRPr="002D11B4" w:rsidRDefault="00254AE2" w:rsidP="00254AE2">
      <w:pPr>
        <w:rPr>
          <w:rFonts w:cs="Times New Roman"/>
          <w:sz w:val="24"/>
          <w:szCs w:val="24"/>
        </w:rPr>
      </w:pPr>
      <w:r w:rsidRPr="002D11B4">
        <w:rPr>
          <w:rFonts w:cs="Times New Roman"/>
          <w:sz w:val="24"/>
          <w:szCs w:val="24"/>
        </w:rPr>
        <w:t xml:space="preserve"> – На основе опросов населения авторитетными исследовательскими группами и международными аналитическими организациями разработан набор рейтингов, оценивающих, насколько счастливы жители разных стран мира.</w:t>
      </w:r>
    </w:p>
    <w:p w:rsidR="00254AE2" w:rsidRPr="002D11B4" w:rsidRDefault="00254AE2" w:rsidP="00254AE2">
      <w:pPr>
        <w:rPr>
          <w:rFonts w:cs="Times New Roman"/>
          <w:sz w:val="24"/>
          <w:szCs w:val="24"/>
        </w:rPr>
      </w:pPr>
    </w:p>
    <w:p w:rsidR="00BC5377" w:rsidRPr="002D11B4" w:rsidRDefault="00BC5377" w:rsidP="00254AE2">
      <w:pPr>
        <w:rPr>
          <w:rFonts w:cs="Times New Roman"/>
          <w:sz w:val="24"/>
          <w:szCs w:val="24"/>
        </w:rPr>
      </w:pPr>
    </w:p>
    <w:p w:rsidR="00BC5377" w:rsidRPr="002D11B4" w:rsidRDefault="007A5917" w:rsidP="00254AE2">
      <w:pPr>
        <w:rPr>
          <w:rFonts w:cs="Times New Roman"/>
          <w:sz w:val="24"/>
          <w:szCs w:val="24"/>
        </w:rPr>
      </w:pPr>
      <w:r>
        <w:rPr>
          <w:rFonts w:cs="Times New Roman"/>
          <w:sz w:val="24"/>
          <w:szCs w:val="24"/>
        </w:rPr>
        <w:t>26</w:t>
      </w:r>
      <w:r w:rsidR="00254AE2" w:rsidRPr="002D11B4">
        <w:rPr>
          <w:rFonts w:cs="Times New Roman"/>
          <w:sz w:val="24"/>
          <w:szCs w:val="24"/>
        </w:rPr>
        <w:t>. Анчишкина, О.</w:t>
      </w:r>
    </w:p>
    <w:p w:rsidR="00254AE2" w:rsidRDefault="00254AE2" w:rsidP="00254AE2">
      <w:pPr>
        <w:rPr>
          <w:rFonts w:cs="Times New Roman"/>
          <w:sz w:val="24"/>
          <w:szCs w:val="24"/>
        </w:rPr>
      </w:pPr>
      <w:r w:rsidRPr="002D11B4">
        <w:rPr>
          <w:rFonts w:cs="Times New Roman"/>
          <w:sz w:val="24"/>
          <w:szCs w:val="24"/>
        </w:rPr>
        <w:t xml:space="preserve">    Контрактные основы российской экономики: сфера государственного, муниципального и регулируемого заказа / О. Анчишкина // Вопросы экономики. – 2017. – № 11. – С. 93-110</w:t>
      </w:r>
    </w:p>
    <w:p w:rsidR="007060F7" w:rsidRPr="002D11B4" w:rsidRDefault="007060F7" w:rsidP="00254AE2">
      <w:pPr>
        <w:rPr>
          <w:rFonts w:cs="Times New Roman"/>
          <w:sz w:val="24"/>
          <w:szCs w:val="24"/>
        </w:rPr>
      </w:pPr>
    </w:p>
    <w:p w:rsidR="00254AE2" w:rsidRPr="002D11B4" w:rsidRDefault="00254AE2" w:rsidP="00254AE2">
      <w:pPr>
        <w:rPr>
          <w:rFonts w:cs="Times New Roman"/>
          <w:sz w:val="24"/>
          <w:szCs w:val="24"/>
        </w:rPr>
      </w:pPr>
      <w:r w:rsidRPr="002D11B4">
        <w:rPr>
          <w:rFonts w:cs="Times New Roman"/>
          <w:sz w:val="24"/>
          <w:szCs w:val="24"/>
        </w:rPr>
        <w:t xml:space="preserve"> – В статье обобщены результаты эмпирических исследований сектора государственных, муниципальных и регулируемых закупок. Предложены исходные модели контрактных взаимодействий, что позволило объяснить ведущие тенденции в сфере закупок.</w:t>
      </w:r>
    </w:p>
    <w:p w:rsidR="00254AE2" w:rsidRDefault="00254AE2" w:rsidP="007A5917">
      <w:pPr>
        <w:rPr>
          <w:rFonts w:cs="Times New Roman"/>
          <w:sz w:val="24"/>
          <w:szCs w:val="24"/>
        </w:rPr>
      </w:pPr>
      <w:r w:rsidRPr="002D11B4">
        <w:rPr>
          <w:rFonts w:cs="Times New Roman"/>
          <w:sz w:val="24"/>
          <w:szCs w:val="24"/>
        </w:rPr>
        <w:t xml:space="preserve"> </w:t>
      </w:r>
    </w:p>
    <w:p w:rsidR="007A5917" w:rsidRPr="002D11B4" w:rsidRDefault="007A5917" w:rsidP="007A5917">
      <w:pPr>
        <w:rPr>
          <w:rFonts w:cs="Times New Roman"/>
          <w:sz w:val="24"/>
          <w:szCs w:val="24"/>
        </w:rPr>
      </w:pPr>
    </w:p>
    <w:p w:rsidR="00254AE2" w:rsidRPr="002D11B4" w:rsidRDefault="007A5917" w:rsidP="00254AE2">
      <w:pPr>
        <w:rPr>
          <w:rFonts w:cs="Times New Roman"/>
          <w:sz w:val="24"/>
          <w:szCs w:val="24"/>
        </w:rPr>
      </w:pPr>
      <w:r>
        <w:rPr>
          <w:rFonts w:cs="Times New Roman"/>
          <w:sz w:val="24"/>
          <w:szCs w:val="24"/>
        </w:rPr>
        <w:t>27</w:t>
      </w:r>
      <w:r w:rsidR="00254AE2" w:rsidRPr="002D11B4">
        <w:rPr>
          <w:rFonts w:cs="Times New Roman"/>
          <w:sz w:val="24"/>
          <w:szCs w:val="24"/>
        </w:rPr>
        <w:t>. Вебер, Ш.</w:t>
      </w:r>
    </w:p>
    <w:p w:rsidR="00254AE2" w:rsidRDefault="00254AE2" w:rsidP="00254AE2">
      <w:pPr>
        <w:rPr>
          <w:rFonts w:cs="Times New Roman"/>
          <w:sz w:val="24"/>
          <w:szCs w:val="24"/>
        </w:rPr>
      </w:pPr>
      <w:r w:rsidRPr="002D11B4">
        <w:rPr>
          <w:rFonts w:cs="Times New Roman"/>
          <w:sz w:val="24"/>
          <w:szCs w:val="24"/>
        </w:rPr>
        <w:t xml:space="preserve">    Социально-экономические эффекты языкового разнообразия / Ш. Вебер, Д. Давыдов // Вопросы экономики. – 2017. – № 11. – С. 50-62</w:t>
      </w:r>
    </w:p>
    <w:p w:rsidR="007060F7" w:rsidRPr="002D11B4" w:rsidRDefault="007060F7" w:rsidP="00254AE2">
      <w:pPr>
        <w:rPr>
          <w:rFonts w:cs="Times New Roman"/>
          <w:sz w:val="24"/>
          <w:szCs w:val="24"/>
        </w:rPr>
      </w:pPr>
    </w:p>
    <w:p w:rsidR="00254AE2" w:rsidRPr="002D11B4" w:rsidRDefault="00254AE2" w:rsidP="00254AE2">
      <w:pPr>
        <w:rPr>
          <w:rFonts w:cs="Times New Roman"/>
          <w:sz w:val="24"/>
          <w:szCs w:val="24"/>
        </w:rPr>
      </w:pPr>
      <w:r w:rsidRPr="002D11B4">
        <w:rPr>
          <w:rFonts w:cs="Times New Roman"/>
          <w:sz w:val="24"/>
          <w:szCs w:val="24"/>
        </w:rPr>
        <w:t xml:space="preserve"> – В работе рассматривается развитие подходов к определению, свойствам и количественной оценке языкового разнообразия в контексте анализа социокультурных эффектов и экономического развития на уровне локальных сообществ, регионов, стран и межстранового взаимодействия. Основное внимание уделяется теоретическому </w:t>
      </w:r>
      <w:r w:rsidRPr="002D11B4">
        <w:rPr>
          <w:rFonts w:cs="Times New Roman"/>
          <w:sz w:val="24"/>
          <w:szCs w:val="24"/>
        </w:rPr>
        <w:lastRenderedPageBreak/>
        <w:t>обоснованию количественных методов формирования индексов языкового разнообразия и особенностям эмпирического анализа влияния разнообразия на различные социально</w:t>
      </w:r>
      <w:r w:rsidR="00BC5377" w:rsidRPr="002D11B4">
        <w:rPr>
          <w:rFonts w:cs="Times New Roman"/>
          <w:sz w:val="24"/>
          <w:szCs w:val="24"/>
        </w:rPr>
        <w:t>-</w:t>
      </w:r>
      <w:r w:rsidRPr="002D11B4">
        <w:rPr>
          <w:rFonts w:cs="Times New Roman"/>
          <w:sz w:val="24"/>
          <w:szCs w:val="24"/>
        </w:rPr>
        <w:t>экономические явления.</w:t>
      </w:r>
    </w:p>
    <w:p w:rsidR="00254AE2" w:rsidRPr="002D11B4" w:rsidRDefault="00254AE2" w:rsidP="00BC5377">
      <w:pPr>
        <w:rPr>
          <w:rFonts w:cs="Times New Roman"/>
          <w:sz w:val="24"/>
          <w:szCs w:val="24"/>
        </w:rPr>
      </w:pPr>
      <w:r w:rsidRPr="002D11B4">
        <w:rPr>
          <w:rFonts w:cs="Times New Roman"/>
          <w:sz w:val="24"/>
          <w:szCs w:val="24"/>
        </w:rPr>
        <w:t xml:space="preserve"> </w:t>
      </w:r>
    </w:p>
    <w:p w:rsidR="00254AE2" w:rsidRPr="002D11B4" w:rsidRDefault="00254AE2" w:rsidP="00254AE2">
      <w:pPr>
        <w:rPr>
          <w:rFonts w:cs="Times New Roman"/>
          <w:sz w:val="24"/>
          <w:szCs w:val="24"/>
        </w:rPr>
      </w:pPr>
    </w:p>
    <w:p w:rsidR="00254AE2" w:rsidRPr="002D11B4" w:rsidRDefault="007A5917" w:rsidP="00254AE2">
      <w:pPr>
        <w:rPr>
          <w:rFonts w:cs="Times New Roman"/>
          <w:sz w:val="24"/>
          <w:szCs w:val="24"/>
        </w:rPr>
      </w:pPr>
      <w:r>
        <w:rPr>
          <w:rFonts w:cs="Times New Roman"/>
          <w:sz w:val="24"/>
          <w:szCs w:val="24"/>
        </w:rPr>
        <w:t>2</w:t>
      </w:r>
      <w:r w:rsidR="00254AE2" w:rsidRPr="002D11B4">
        <w:rPr>
          <w:rFonts w:cs="Times New Roman"/>
          <w:sz w:val="24"/>
          <w:szCs w:val="24"/>
        </w:rPr>
        <w:t>8. Капелюшников, Р.</w:t>
      </w:r>
    </w:p>
    <w:p w:rsidR="00254AE2" w:rsidRDefault="00254AE2" w:rsidP="00254AE2">
      <w:pPr>
        <w:rPr>
          <w:rFonts w:cs="Times New Roman"/>
          <w:sz w:val="24"/>
          <w:szCs w:val="24"/>
        </w:rPr>
      </w:pPr>
      <w:r w:rsidRPr="002D11B4">
        <w:rPr>
          <w:rFonts w:cs="Times New Roman"/>
          <w:sz w:val="24"/>
          <w:szCs w:val="24"/>
        </w:rPr>
        <w:t xml:space="preserve">    Технологический прогресс - пожиратель рабочих мест? / Р. Капелюшников // Вопросы экономики. – 2017. – № 11. – С. 111-140</w:t>
      </w:r>
    </w:p>
    <w:p w:rsidR="007060F7" w:rsidRPr="002D11B4" w:rsidRDefault="007060F7" w:rsidP="00254AE2">
      <w:pPr>
        <w:rPr>
          <w:rFonts w:cs="Times New Roman"/>
          <w:sz w:val="24"/>
          <w:szCs w:val="24"/>
        </w:rPr>
      </w:pPr>
    </w:p>
    <w:p w:rsidR="00254AE2" w:rsidRPr="002D11B4" w:rsidRDefault="00254AE2" w:rsidP="00254AE2">
      <w:pPr>
        <w:rPr>
          <w:rFonts w:cs="Times New Roman"/>
          <w:sz w:val="24"/>
          <w:szCs w:val="24"/>
        </w:rPr>
      </w:pPr>
      <w:r w:rsidRPr="002D11B4">
        <w:rPr>
          <w:rFonts w:cs="Times New Roman"/>
          <w:sz w:val="24"/>
          <w:szCs w:val="24"/>
        </w:rPr>
        <w:t xml:space="preserve"> – Анализ идеи технологической безработицы показывает, что на уровне отдельных фирм связь между инновациями и занятостью практически всегда является положительной, на секторальном уровне она оказывается неоднозначной, на макроуровне технологический прогресс выступает либо как положительный, либо как нейтральный фактор. Таким образом, широко распространенные опасения относительно резкого скачка безработицы под действием технологических факторов не имеют достаточных оснований. Анализ свидетельствует также, что новые технологии гораздо сильнее влияют на структуру занятости, чем на ее уровень, при этом меняется не столько распределение работников по профессиональным группам, сколько набор задач, решаемых в рамках каждой профессии.</w:t>
      </w:r>
    </w:p>
    <w:p w:rsidR="00254AE2" w:rsidRPr="002D11B4" w:rsidRDefault="00254AE2" w:rsidP="00254AE2">
      <w:pPr>
        <w:rPr>
          <w:rFonts w:cs="Times New Roman"/>
          <w:sz w:val="24"/>
          <w:szCs w:val="24"/>
        </w:rPr>
      </w:pPr>
    </w:p>
    <w:p w:rsidR="00254AE2" w:rsidRPr="002D11B4" w:rsidRDefault="00254AE2" w:rsidP="00254AE2">
      <w:pPr>
        <w:rPr>
          <w:rFonts w:cs="Times New Roman"/>
          <w:sz w:val="24"/>
          <w:szCs w:val="24"/>
        </w:rPr>
      </w:pPr>
    </w:p>
    <w:p w:rsidR="004E42FC" w:rsidRPr="002D11B4" w:rsidRDefault="007A5917" w:rsidP="004E42FC">
      <w:pPr>
        <w:rPr>
          <w:rFonts w:cs="Times New Roman"/>
          <w:sz w:val="24"/>
          <w:szCs w:val="24"/>
        </w:rPr>
      </w:pPr>
      <w:r>
        <w:rPr>
          <w:rFonts w:cs="Times New Roman"/>
          <w:sz w:val="24"/>
          <w:szCs w:val="24"/>
        </w:rPr>
        <w:t>29</w:t>
      </w:r>
      <w:r w:rsidR="00254AE2" w:rsidRPr="002D11B4">
        <w:rPr>
          <w:rFonts w:cs="Times New Roman"/>
          <w:sz w:val="24"/>
          <w:szCs w:val="24"/>
        </w:rPr>
        <w:t xml:space="preserve">. </w:t>
      </w:r>
      <w:r w:rsidR="004E42FC" w:rsidRPr="002D11B4">
        <w:rPr>
          <w:rFonts w:cs="Times New Roman"/>
          <w:sz w:val="24"/>
          <w:szCs w:val="24"/>
        </w:rPr>
        <w:t>Бурак, П.</w:t>
      </w:r>
    </w:p>
    <w:p w:rsidR="004E42FC" w:rsidRDefault="004E42FC" w:rsidP="004E42FC">
      <w:pPr>
        <w:rPr>
          <w:rFonts w:cs="Times New Roman"/>
          <w:sz w:val="24"/>
          <w:szCs w:val="24"/>
        </w:rPr>
      </w:pPr>
      <w:r w:rsidRPr="002D11B4">
        <w:rPr>
          <w:rFonts w:cs="Times New Roman"/>
          <w:sz w:val="24"/>
          <w:szCs w:val="24"/>
        </w:rPr>
        <w:t xml:space="preserve">    Ассоциации экономического взаимодействия субъектов Российской Федерации: системный кризис или поиск новых форм развития? / П. Бурак, В. Ростанец, А. Топилин // Проблемы теории и практики управления. – 2017. – № 10. – С. 66-73</w:t>
      </w:r>
    </w:p>
    <w:p w:rsidR="007060F7" w:rsidRPr="002D11B4" w:rsidRDefault="007060F7" w:rsidP="004E42FC">
      <w:pPr>
        <w:rPr>
          <w:rFonts w:cs="Times New Roman"/>
          <w:sz w:val="24"/>
          <w:szCs w:val="24"/>
        </w:rPr>
      </w:pPr>
    </w:p>
    <w:p w:rsidR="004E42FC" w:rsidRDefault="004E42FC" w:rsidP="004E42FC">
      <w:pPr>
        <w:rPr>
          <w:rFonts w:cs="Times New Roman"/>
          <w:sz w:val="24"/>
          <w:szCs w:val="24"/>
        </w:rPr>
      </w:pPr>
      <w:r w:rsidRPr="002D11B4">
        <w:rPr>
          <w:rFonts w:cs="Times New Roman"/>
          <w:sz w:val="24"/>
          <w:szCs w:val="24"/>
        </w:rPr>
        <w:t xml:space="preserve"> – Раскрываются причины, содержание и направления структурных и функциональных изменений в деятельности ассоциаций экономического взаимодействия субъектов РФ, происходящих в них начиная с 2012 года. Выдвинуты предложения по активизации работы ассоциаций на принципах государственно-частного партнерства.</w:t>
      </w:r>
    </w:p>
    <w:p w:rsidR="00254AE2" w:rsidRPr="002D11B4" w:rsidRDefault="00254AE2" w:rsidP="004E42FC">
      <w:pPr>
        <w:rPr>
          <w:rFonts w:cs="Times New Roman"/>
          <w:sz w:val="24"/>
          <w:szCs w:val="24"/>
        </w:rPr>
      </w:pPr>
    </w:p>
    <w:p w:rsidR="00254AE2" w:rsidRPr="002D11B4" w:rsidRDefault="00254AE2" w:rsidP="00482291">
      <w:pPr>
        <w:rPr>
          <w:rFonts w:cs="Times New Roman"/>
          <w:sz w:val="24"/>
          <w:szCs w:val="24"/>
        </w:rPr>
      </w:pPr>
    </w:p>
    <w:p w:rsidR="00254AE2" w:rsidRPr="002D11B4" w:rsidRDefault="00254AE2" w:rsidP="00482291">
      <w:pPr>
        <w:rPr>
          <w:rFonts w:cs="Times New Roman"/>
          <w:sz w:val="24"/>
          <w:szCs w:val="24"/>
        </w:rPr>
      </w:pPr>
    </w:p>
    <w:sectPr w:rsidR="00254AE2" w:rsidRPr="002D11B4" w:rsidSect="001A1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867E2"/>
    <w:rsid w:val="000018A6"/>
    <w:rsid w:val="000056F0"/>
    <w:rsid w:val="00005CB0"/>
    <w:rsid w:val="0001037A"/>
    <w:rsid w:val="00014E55"/>
    <w:rsid w:val="00015D83"/>
    <w:rsid w:val="0002276E"/>
    <w:rsid w:val="00023FCD"/>
    <w:rsid w:val="00024093"/>
    <w:rsid w:val="00024277"/>
    <w:rsid w:val="000469D3"/>
    <w:rsid w:val="00047AE7"/>
    <w:rsid w:val="0005037F"/>
    <w:rsid w:val="00053274"/>
    <w:rsid w:val="00053299"/>
    <w:rsid w:val="000538D1"/>
    <w:rsid w:val="00055A75"/>
    <w:rsid w:val="00080652"/>
    <w:rsid w:val="00085FAD"/>
    <w:rsid w:val="00086558"/>
    <w:rsid w:val="00094E00"/>
    <w:rsid w:val="000A077E"/>
    <w:rsid w:val="000A2564"/>
    <w:rsid w:val="000A7958"/>
    <w:rsid w:val="000B1B78"/>
    <w:rsid w:val="000B2F91"/>
    <w:rsid w:val="000B6183"/>
    <w:rsid w:val="000B73F4"/>
    <w:rsid w:val="000C721C"/>
    <w:rsid w:val="000C7FA5"/>
    <w:rsid w:val="000D4694"/>
    <w:rsid w:val="000D6413"/>
    <w:rsid w:val="000E206C"/>
    <w:rsid w:val="000E69B1"/>
    <w:rsid w:val="000E6C47"/>
    <w:rsid w:val="000F0CB3"/>
    <w:rsid w:val="000F1419"/>
    <w:rsid w:val="000F368E"/>
    <w:rsid w:val="000F4F9C"/>
    <w:rsid w:val="000F66B7"/>
    <w:rsid w:val="000F69BB"/>
    <w:rsid w:val="001027AA"/>
    <w:rsid w:val="00103776"/>
    <w:rsid w:val="001101A7"/>
    <w:rsid w:val="001114B9"/>
    <w:rsid w:val="00114CC1"/>
    <w:rsid w:val="00115AFF"/>
    <w:rsid w:val="00120A32"/>
    <w:rsid w:val="001218AF"/>
    <w:rsid w:val="00122270"/>
    <w:rsid w:val="0013033C"/>
    <w:rsid w:val="0013494A"/>
    <w:rsid w:val="0014100D"/>
    <w:rsid w:val="0014142A"/>
    <w:rsid w:val="001434FE"/>
    <w:rsid w:val="001445C0"/>
    <w:rsid w:val="00147A39"/>
    <w:rsid w:val="00150EF2"/>
    <w:rsid w:val="001514A6"/>
    <w:rsid w:val="001527FB"/>
    <w:rsid w:val="00153BE8"/>
    <w:rsid w:val="00155F63"/>
    <w:rsid w:val="00156CAD"/>
    <w:rsid w:val="001602BB"/>
    <w:rsid w:val="00164194"/>
    <w:rsid w:val="00164604"/>
    <w:rsid w:val="00164C2F"/>
    <w:rsid w:val="00174B25"/>
    <w:rsid w:val="001767D8"/>
    <w:rsid w:val="00180224"/>
    <w:rsid w:val="00184CB2"/>
    <w:rsid w:val="00192C8C"/>
    <w:rsid w:val="001A1974"/>
    <w:rsid w:val="001A449C"/>
    <w:rsid w:val="001A62D1"/>
    <w:rsid w:val="001B5BEA"/>
    <w:rsid w:val="001C31F9"/>
    <w:rsid w:val="001D57D0"/>
    <w:rsid w:val="001E2E46"/>
    <w:rsid w:val="001E3CA3"/>
    <w:rsid w:val="001E43D1"/>
    <w:rsid w:val="001E4C54"/>
    <w:rsid w:val="001E59CF"/>
    <w:rsid w:val="001F2C83"/>
    <w:rsid w:val="001F4D75"/>
    <w:rsid w:val="0020069E"/>
    <w:rsid w:val="002019F7"/>
    <w:rsid w:val="00201ACC"/>
    <w:rsid w:val="002073C5"/>
    <w:rsid w:val="0020786C"/>
    <w:rsid w:val="0021169B"/>
    <w:rsid w:val="0021539B"/>
    <w:rsid w:val="00222FDC"/>
    <w:rsid w:val="002348A5"/>
    <w:rsid w:val="002361FB"/>
    <w:rsid w:val="00236C4F"/>
    <w:rsid w:val="00237992"/>
    <w:rsid w:val="00237F22"/>
    <w:rsid w:val="0024731E"/>
    <w:rsid w:val="00254AE2"/>
    <w:rsid w:val="002553B3"/>
    <w:rsid w:val="00262D57"/>
    <w:rsid w:val="00270061"/>
    <w:rsid w:val="002758F7"/>
    <w:rsid w:val="002872E2"/>
    <w:rsid w:val="002900B8"/>
    <w:rsid w:val="002912E7"/>
    <w:rsid w:val="002A46B4"/>
    <w:rsid w:val="002A5CFA"/>
    <w:rsid w:val="002B0B2B"/>
    <w:rsid w:val="002C1FBD"/>
    <w:rsid w:val="002C55B3"/>
    <w:rsid w:val="002C79DD"/>
    <w:rsid w:val="002D11B4"/>
    <w:rsid w:val="002D1502"/>
    <w:rsid w:val="002D31BC"/>
    <w:rsid w:val="002E2D71"/>
    <w:rsid w:val="002F428F"/>
    <w:rsid w:val="00301954"/>
    <w:rsid w:val="003026F4"/>
    <w:rsid w:val="00307A59"/>
    <w:rsid w:val="00311526"/>
    <w:rsid w:val="003119C0"/>
    <w:rsid w:val="00313D61"/>
    <w:rsid w:val="0031701D"/>
    <w:rsid w:val="0031768F"/>
    <w:rsid w:val="00320FD2"/>
    <w:rsid w:val="0032173E"/>
    <w:rsid w:val="0032233F"/>
    <w:rsid w:val="003232C9"/>
    <w:rsid w:val="00325938"/>
    <w:rsid w:val="0032702E"/>
    <w:rsid w:val="00327BD9"/>
    <w:rsid w:val="00332561"/>
    <w:rsid w:val="00333582"/>
    <w:rsid w:val="00336491"/>
    <w:rsid w:val="00340EF9"/>
    <w:rsid w:val="00341B22"/>
    <w:rsid w:val="00343344"/>
    <w:rsid w:val="00344D2A"/>
    <w:rsid w:val="00350FD6"/>
    <w:rsid w:val="00354C74"/>
    <w:rsid w:val="00355CFA"/>
    <w:rsid w:val="0035741A"/>
    <w:rsid w:val="00360A90"/>
    <w:rsid w:val="003654A4"/>
    <w:rsid w:val="003665C8"/>
    <w:rsid w:val="00366937"/>
    <w:rsid w:val="003706E5"/>
    <w:rsid w:val="00371ED8"/>
    <w:rsid w:val="0037208D"/>
    <w:rsid w:val="003733F5"/>
    <w:rsid w:val="0037476E"/>
    <w:rsid w:val="0037506C"/>
    <w:rsid w:val="00387AF4"/>
    <w:rsid w:val="003933C8"/>
    <w:rsid w:val="00395C52"/>
    <w:rsid w:val="00395F30"/>
    <w:rsid w:val="003A0CC3"/>
    <w:rsid w:val="003A2AA3"/>
    <w:rsid w:val="003B001F"/>
    <w:rsid w:val="003B044C"/>
    <w:rsid w:val="003B065B"/>
    <w:rsid w:val="003B0673"/>
    <w:rsid w:val="003B0BBE"/>
    <w:rsid w:val="003B18B0"/>
    <w:rsid w:val="003B2A71"/>
    <w:rsid w:val="003B38AE"/>
    <w:rsid w:val="003B4257"/>
    <w:rsid w:val="003B5C6B"/>
    <w:rsid w:val="003B686F"/>
    <w:rsid w:val="003B7788"/>
    <w:rsid w:val="003C240A"/>
    <w:rsid w:val="003C2FE7"/>
    <w:rsid w:val="003C54C6"/>
    <w:rsid w:val="003C6D26"/>
    <w:rsid w:val="003C6F98"/>
    <w:rsid w:val="003C7D49"/>
    <w:rsid w:val="003D315F"/>
    <w:rsid w:val="003D5379"/>
    <w:rsid w:val="003E1654"/>
    <w:rsid w:val="003F0E5E"/>
    <w:rsid w:val="003F112D"/>
    <w:rsid w:val="003F1894"/>
    <w:rsid w:val="003F37F1"/>
    <w:rsid w:val="003F5A2E"/>
    <w:rsid w:val="003F68B9"/>
    <w:rsid w:val="003F7432"/>
    <w:rsid w:val="003F7636"/>
    <w:rsid w:val="00402E3F"/>
    <w:rsid w:val="00403D0E"/>
    <w:rsid w:val="004062B1"/>
    <w:rsid w:val="0040769E"/>
    <w:rsid w:val="004132EF"/>
    <w:rsid w:val="00420337"/>
    <w:rsid w:val="00421599"/>
    <w:rsid w:val="00426572"/>
    <w:rsid w:val="00432A68"/>
    <w:rsid w:val="00436548"/>
    <w:rsid w:val="004406F4"/>
    <w:rsid w:val="00451815"/>
    <w:rsid w:val="0045257A"/>
    <w:rsid w:val="00461141"/>
    <w:rsid w:val="004640BB"/>
    <w:rsid w:val="00471780"/>
    <w:rsid w:val="00474968"/>
    <w:rsid w:val="0048093E"/>
    <w:rsid w:val="00481772"/>
    <w:rsid w:val="00482291"/>
    <w:rsid w:val="00490C72"/>
    <w:rsid w:val="00491938"/>
    <w:rsid w:val="00491F81"/>
    <w:rsid w:val="00493111"/>
    <w:rsid w:val="00493E10"/>
    <w:rsid w:val="004A10EA"/>
    <w:rsid w:val="004B0BCD"/>
    <w:rsid w:val="004B2313"/>
    <w:rsid w:val="004B2A46"/>
    <w:rsid w:val="004B6AC6"/>
    <w:rsid w:val="004B75E9"/>
    <w:rsid w:val="004B7673"/>
    <w:rsid w:val="004D06F8"/>
    <w:rsid w:val="004D1BBD"/>
    <w:rsid w:val="004D1FB5"/>
    <w:rsid w:val="004D5E61"/>
    <w:rsid w:val="004E405C"/>
    <w:rsid w:val="004E42FC"/>
    <w:rsid w:val="004F1945"/>
    <w:rsid w:val="004F2676"/>
    <w:rsid w:val="004F4730"/>
    <w:rsid w:val="005052BD"/>
    <w:rsid w:val="00507902"/>
    <w:rsid w:val="005136F8"/>
    <w:rsid w:val="00514A0D"/>
    <w:rsid w:val="00514DBD"/>
    <w:rsid w:val="005165AC"/>
    <w:rsid w:val="0052051A"/>
    <w:rsid w:val="00525A32"/>
    <w:rsid w:val="00535D1E"/>
    <w:rsid w:val="005378D4"/>
    <w:rsid w:val="00537F70"/>
    <w:rsid w:val="00540590"/>
    <w:rsid w:val="00543973"/>
    <w:rsid w:val="00552BF8"/>
    <w:rsid w:val="00555FF2"/>
    <w:rsid w:val="00570F43"/>
    <w:rsid w:val="00576ABE"/>
    <w:rsid w:val="005835CC"/>
    <w:rsid w:val="0058626E"/>
    <w:rsid w:val="00595064"/>
    <w:rsid w:val="005A161E"/>
    <w:rsid w:val="005A5EA1"/>
    <w:rsid w:val="005B5D71"/>
    <w:rsid w:val="005C4992"/>
    <w:rsid w:val="005D078F"/>
    <w:rsid w:val="005D1E17"/>
    <w:rsid w:val="005D2F44"/>
    <w:rsid w:val="005E2940"/>
    <w:rsid w:val="005E2DA3"/>
    <w:rsid w:val="005F5CD3"/>
    <w:rsid w:val="00614A14"/>
    <w:rsid w:val="00621AC1"/>
    <w:rsid w:val="00626E2E"/>
    <w:rsid w:val="00635658"/>
    <w:rsid w:val="00641B80"/>
    <w:rsid w:val="006434B1"/>
    <w:rsid w:val="00644EF0"/>
    <w:rsid w:val="00655E25"/>
    <w:rsid w:val="0065737F"/>
    <w:rsid w:val="00665A1E"/>
    <w:rsid w:val="00665F08"/>
    <w:rsid w:val="006759C7"/>
    <w:rsid w:val="0068655E"/>
    <w:rsid w:val="0069033A"/>
    <w:rsid w:val="006943A8"/>
    <w:rsid w:val="00696668"/>
    <w:rsid w:val="00696CAC"/>
    <w:rsid w:val="006A7498"/>
    <w:rsid w:val="006B2654"/>
    <w:rsid w:val="006C0933"/>
    <w:rsid w:val="006C0C0B"/>
    <w:rsid w:val="006C756D"/>
    <w:rsid w:val="006D248E"/>
    <w:rsid w:val="006D3E18"/>
    <w:rsid w:val="006D69E0"/>
    <w:rsid w:val="006E343D"/>
    <w:rsid w:val="006E709C"/>
    <w:rsid w:val="00704DAB"/>
    <w:rsid w:val="007060F7"/>
    <w:rsid w:val="007121EC"/>
    <w:rsid w:val="00712325"/>
    <w:rsid w:val="00737766"/>
    <w:rsid w:val="00741AD6"/>
    <w:rsid w:val="007431F9"/>
    <w:rsid w:val="00751134"/>
    <w:rsid w:val="00764B38"/>
    <w:rsid w:val="00767FF4"/>
    <w:rsid w:val="00770590"/>
    <w:rsid w:val="00771F08"/>
    <w:rsid w:val="0077649F"/>
    <w:rsid w:val="0078087C"/>
    <w:rsid w:val="00780D5A"/>
    <w:rsid w:val="00786F34"/>
    <w:rsid w:val="00797FDA"/>
    <w:rsid w:val="007A5917"/>
    <w:rsid w:val="007B1F4C"/>
    <w:rsid w:val="007C507E"/>
    <w:rsid w:val="007D7CD1"/>
    <w:rsid w:val="007E5F20"/>
    <w:rsid w:val="00806139"/>
    <w:rsid w:val="00813DD4"/>
    <w:rsid w:val="0082153A"/>
    <w:rsid w:val="00821752"/>
    <w:rsid w:val="0083415C"/>
    <w:rsid w:val="00835B28"/>
    <w:rsid w:val="0084595B"/>
    <w:rsid w:val="00845B11"/>
    <w:rsid w:val="00847BEB"/>
    <w:rsid w:val="00857C76"/>
    <w:rsid w:val="0086087B"/>
    <w:rsid w:val="0086610F"/>
    <w:rsid w:val="008770FD"/>
    <w:rsid w:val="00886DE0"/>
    <w:rsid w:val="008870B3"/>
    <w:rsid w:val="008876E6"/>
    <w:rsid w:val="00896D7F"/>
    <w:rsid w:val="008A69B9"/>
    <w:rsid w:val="008B2931"/>
    <w:rsid w:val="008B41D9"/>
    <w:rsid w:val="008B47EA"/>
    <w:rsid w:val="008B4B88"/>
    <w:rsid w:val="008C190F"/>
    <w:rsid w:val="008C23AF"/>
    <w:rsid w:val="008D09AF"/>
    <w:rsid w:val="008D1509"/>
    <w:rsid w:val="008D2418"/>
    <w:rsid w:val="008E1916"/>
    <w:rsid w:val="008E42A1"/>
    <w:rsid w:val="008E4EEA"/>
    <w:rsid w:val="008E6B46"/>
    <w:rsid w:val="008E6D93"/>
    <w:rsid w:val="008F411E"/>
    <w:rsid w:val="00901E88"/>
    <w:rsid w:val="00902FFD"/>
    <w:rsid w:val="00904EAB"/>
    <w:rsid w:val="009050DE"/>
    <w:rsid w:val="00905BEC"/>
    <w:rsid w:val="00921FA3"/>
    <w:rsid w:val="00922FC9"/>
    <w:rsid w:val="009249E7"/>
    <w:rsid w:val="0092663A"/>
    <w:rsid w:val="009306DC"/>
    <w:rsid w:val="00930AE6"/>
    <w:rsid w:val="00941411"/>
    <w:rsid w:val="00941DB1"/>
    <w:rsid w:val="00947C09"/>
    <w:rsid w:val="00950ABE"/>
    <w:rsid w:val="009511D8"/>
    <w:rsid w:val="00953CCC"/>
    <w:rsid w:val="009551D6"/>
    <w:rsid w:val="00962939"/>
    <w:rsid w:val="009707B3"/>
    <w:rsid w:val="00974A18"/>
    <w:rsid w:val="00980AE4"/>
    <w:rsid w:val="009951D7"/>
    <w:rsid w:val="009B060F"/>
    <w:rsid w:val="009B1EAD"/>
    <w:rsid w:val="009B4E7A"/>
    <w:rsid w:val="009C06F8"/>
    <w:rsid w:val="009C4D18"/>
    <w:rsid w:val="009C4DAE"/>
    <w:rsid w:val="009C6037"/>
    <w:rsid w:val="009C6559"/>
    <w:rsid w:val="009E2370"/>
    <w:rsid w:val="009E376E"/>
    <w:rsid w:val="009E55C9"/>
    <w:rsid w:val="009E5A35"/>
    <w:rsid w:val="009E695F"/>
    <w:rsid w:val="009F19E3"/>
    <w:rsid w:val="009F3FB5"/>
    <w:rsid w:val="00A04D43"/>
    <w:rsid w:val="00A116D3"/>
    <w:rsid w:val="00A1693A"/>
    <w:rsid w:val="00A23636"/>
    <w:rsid w:val="00A25C90"/>
    <w:rsid w:val="00A37608"/>
    <w:rsid w:val="00A50E93"/>
    <w:rsid w:val="00A6254C"/>
    <w:rsid w:val="00A70B44"/>
    <w:rsid w:val="00A70FAB"/>
    <w:rsid w:val="00A71B23"/>
    <w:rsid w:val="00A75680"/>
    <w:rsid w:val="00A8000C"/>
    <w:rsid w:val="00A81C17"/>
    <w:rsid w:val="00A81F11"/>
    <w:rsid w:val="00A8240F"/>
    <w:rsid w:val="00A86039"/>
    <w:rsid w:val="00A9103A"/>
    <w:rsid w:val="00A91552"/>
    <w:rsid w:val="00A94239"/>
    <w:rsid w:val="00A942AB"/>
    <w:rsid w:val="00A97F96"/>
    <w:rsid w:val="00AA06D3"/>
    <w:rsid w:val="00AB1A43"/>
    <w:rsid w:val="00AB4D81"/>
    <w:rsid w:val="00AC4984"/>
    <w:rsid w:val="00AC5443"/>
    <w:rsid w:val="00AC6EEA"/>
    <w:rsid w:val="00AD03D2"/>
    <w:rsid w:val="00AD4A50"/>
    <w:rsid w:val="00AD7235"/>
    <w:rsid w:val="00AE01E9"/>
    <w:rsid w:val="00AF6F30"/>
    <w:rsid w:val="00B144FC"/>
    <w:rsid w:val="00B22A7C"/>
    <w:rsid w:val="00B25B9A"/>
    <w:rsid w:val="00B269AF"/>
    <w:rsid w:val="00B41288"/>
    <w:rsid w:val="00B46CAA"/>
    <w:rsid w:val="00B501F0"/>
    <w:rsid w:val="00B507E2"/>
    <w:rsid w:val="00B60BBA"/>
    <w:rsid w:val="00B617DF"/>
    <w:rsid w:val="00B62BF5"/>
    <w:rsid w:val="00B652F1"/>
    <w:rsid w:val="00B67E8D"/>
    <w:rsid w:val="00B84DF3"/>
    <w:rsid w:val="00B8644F"/>
    <w:rsid w:val="00B87188"/>
    <w:rsid w:val="00BA4B7A"/>
    <w:rsid w:val="00BB12F6"/>
    <w:rsid w:val="00BB145D"/>
    <w:rsid w:val="00BB1897"/>
    <w:rsid w:val="00BB43C7"/>
    <w:rsid w:val="00BC1CF1"/>
    <w:rsid w:val="00BC238D"/>
    <w:rsid w:val="00BC277D"/>
    <w:rsid w:val="00BC2ED7"/>
    <w:rsid w:val="00BC3EAF"/>
    <w:rsid w:val="00BC5377"/>
    <w:rsid w:val="00BD446D"/>
    <w:rsid w:val="00BE4713"/>
    <w:rsid w:val="00BE4E95"/>
    <w:rsid w:val="00BE69CF"/>
    <w:rsid w:val="00BF28AA"/>
    <w:rsid w:val="00BF2F88"/>
    <w:rsid w:val="00BF6C7B"/>
    <w:rsid w:val="00C05904"/>
    <w:rsid w:val="00C12437"/>
    <w:rsid w:val="00C15C08"/>
    <w:rsid w:val="00C2320A"/>
    <w:rsid w:val="00C27047"/>
    <w:rsid w:val="00C3334B"/>
    <w:rsid w:val="00C354B4"/>
    <w:rsid w:val="00C424F3"/>
    <w:rsid w:val="00C43282"/>
    <w:rsid w:val="00C435F4"/>
    <w:rsid w:val="00C47A40"/>
    <w:rsid w:val="00C526A5"/>
    <w:rsid w:val="00C60B70"/>
    <w:rsid w:val="00C60FAF"/>
    <w:rsid w:val="00C662B0"/>
    <w:rsid w:val="00C71440"/>
    <w:rsid w:val="00C71B68"/>
    <w:rsid w:val="00C75A05"/>
    <w:rsid w:val="00CB7DFD"/>
    <w:rsid w:val="00CC1AA5"/>
    <w:rsid w:val="00CC1EEE"/>
    <w:rsid w:val="00CC4C00"/>
    <w:rsid w:val="00CC7221"/>
    <w:rsid w:val="00CD04EB"/>
    <w:rsid w:val="00CD1FAD"/>
    <w:rsid w:val="00CD5060"/>
    <w:rsid w:val="00CD5663"/>
    <w:rsid w:val="00CD7B70"/>
    <w:rsid w:val="00CE3EB5"/>
    <w:rsid w:val="00CE664A"/>
    <w:rsid w:val="00CE68DD"/>
    <w:rsid w:val="00CF305B"/>
    <w:rsid w:val="00CF3235"/>
    <w:rsid w:val="00CF4ABE"/>
    <w:rsid w:val="00CF7A64"/>
    <w:rsid w:val="00D0612C"/>
    <w:rsid w:val="00D10CE1"/>
    <w:rsid w:val="00D260A2"/>
    <w:rsid w:val="00D30B8C"/>
    <w:rsid w:val="00D37C18"/>
    <w:rsid w:val="00D43624"/>
    <w:rsid w:val="00D46095"/>
    <w:rsid w:val="00D53B2A"/>
    <w:rsid w:val="00D66024"/>
    <w:rsid w:val="00D67936"/>
    <w:rsid w:val="00D75918"/>
    <w:rsid w:val="00D764A5"/>
    <w:rsid w:val="00D800A8"/>
    <w:rsid w:val="00D818EC"/>
    <w:rsid w:val="00D830EF"/>
    <w:rsid w:val="00D85D67"/>
    <w:rsid w:val="00DA2D4E"/>
    <w:rsid w:val="00DA47CD"/>
    <w:rsid w:val="00DA670E"/>
    <w:rsid w:val="00DB096C"/>
    <w:rsid w:val="00DB0D73"/>
    <w:rsid w:val="00DB39E2"/>
    <w:rsid w:val="00DB4823"/>
    <w:rsid w:val="00DB529B"/>
    <w:rsid w:val="00DB55ED"/>
    <w:rsid w:val="00DB641B"/>
    <w:rsid w:val="00DB6FD9"/>
    <w:rsid w:val="00DC33ED"/>
    <w:rsid w:val="00DC62EC"/>
    <w:rsid w:val="00DC760E"/>
    <w:rsid w:val="00DD1E70"/>
    <w:rsid w:val="00DD6CB4"/>
    <w:rsid w:val="00DE30E7"/>
    <w:rsid w:val="00DE3702"/>
    <w:rsid w:val="00DE3B53"/>
    <w:rsid w:val="00DE68E7"/>
    <w:rsid w:val="00DE6B17"/>
    <w:rsid w:val="00DF1DB8"/>
    <w:rsid w:val="00DF6771"/>
    <w:rsid w:val="00E0403A"/>
    <w:rsid w:val="00E12C06"/>
    <w:rsid w:val="00E20CE4"/>
    <w:rsid w:val="00E306BC"/>
    <w:rsid w:val="00E34B6A"/>
    <w:rsid w:val="00E3627A"/>
    <w:rsid w:val="00E37AD2"/>
    <w:rsid w:val="00E44D3C"/>
    <w:rsid w:val="00E5796E"/>
    <w:rsid w:val="00E67AD1"/>
    <w:rsid w:val="00E728DA"/>
    <w:rsid w:val="00E7502F"/>
    <w:rsid w:val="00E7509E"/>
    <w:rsid w:val="00E81FCB"/>
    <w:rsid w:val="00E8277B"/>
    <w:rsid w:val="00E87821"/>
    <w:rsid w:val="00E906DC"/>
    <w:rsid w:val="00E90C6C"/>
    <w:rsid w:val="00E97277"/>
    <w:rsid w:val="00EA3B76"/>
    <w:rsid w:val="00EB6CFC"/>
    <w:rsid w:val="00EB79F9"/>
    <w:rsid w:val="00EC0094"/>
    <w:rsid w:val="00EC414D"/>
    <w:rsid w:val="00EC6A2D"/>
    <w:rsid w:val="00EC7F37"/>
    <w:rsid w:val="00EE0257"/>
    <w:rsid w:val="00EE7918"/>
    <w:rsid w:val="00EF63A1"/>
    <w:rsid w:val="00EF6F95"/>
    <w:rsid w:val="00F037BB"/>
    <w:rsid w:val="00F114A8"/>
    <w:rsid w:val="00F116D9"/>
    <w:rsid w:val="00F231C0"/>
    <w:rsid w:val="00F23D71"/>
    <w:rsid w:val="00F25353"/>
    <w:rsid w:val="00F323F1"/>
    <w:rsid w:val="00F35655"/>
    <w:rsid w:val="00F46051"/>
    <w:rsid w:val="00F52591"/>
    <w:rsid w:val="00F52BE1"/>
    <w:rsid w:val="00F5395A"/>
    <w:rsid w:val="00F6117A"/>
    <w:rsid w:val="00F62E1A"/>
    <w:rsid w:val="00F70B18"/>
    <w:rsid w:val="00F77358"/>
    <w:rsid w:val="00F81A54"/>
    <w:rsid w:val="00F822B6"/>
    <w:rsid w:val="00F82E8A"/>
    <w:rsid w:val="00F8371E"/>
    <w:rsid w:val="00F83B61"/>
    <w:rsid w:val="00F86637"/>
    <w:rsid w:val="00F867E2"/>
    <w:rsid w:val="00F94136"/>
    <w:rsid w:val="00FA41BF"/>
    <w:rsid w:val="00FC1326"/>
    <w:rsid w:val="00FC2017"/>
    <w:rsid w:val="00FC304A"/>
    <w:rsid w:val="00FC3388"/>
    <w:rsid w:val="00FC3E3F"/>
    <w:rsid w:val="00FC4FC7"/>
    <w:rsid w:val="00FC567C"/>
    <w:rsid w:val="00FC5AFC"/>
    <w:rsid w:val="00FC6499"/>
    <w:rsid w:val="00FD047E"/>
    <w:rsid w:val="00FD08FA"/>
    <w:rsid w:val="00FE0E51"/>
    <w:rsid w:val="00FE3C21"/>
    <w:rsid w:val="00FE6B8C"/>
    <w:rsid w:val="00FF5B5E"/>
    <w:rsid w:val="00FF7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8AA"/>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56015">
      <w:bodyDiv w:val="1"/>
      <w:marLeft w:val="0"/>
      <w:marRight w:val="0"/>
      <w:marTop w:val="0"/>
      <w:marBottom w:val="0"/>
      <w:divBdr>
        <w:top w:val="none" w:sz="0" w:space="0" w:color="auto"/>
        <w:left w:val="none" w:sz="0" w:space="0" w:color="auto"/>
        <w:bottom w:val="none" w:sz="0" w:space="0" w:color="auto"/>
        <w:right w:val="none" w:sz="0" w:space="0" w:color="auto"/>
      </w:divBdr>
    </w:div>
    <w:div w:id="1387028890">
      <w:bodyDiv w:val="1"/>
      <w:marLeft w:val="0"/>
      <w:marRight w:val="0"/>
      <w:marTop w:val="0"/>
      <w:marBottom w:val="0"/>
      <w:divBdr>
        <w:top w:val="none" w:sz="0" w:space="0" w:color="auto"/>
        <w:left w:val="none" w:sz="0" w:space="0" w:color="auto"/>
        <w:bottom w:val="none" w:sz="0" w:space="0" w:color="auto"/>
        <w:right w:val="none" w:sz="0" w:space="0" w:color="auto"/>
      </w:divBdr>
    </w:div>
    <w:div w:id="1520777629">
      <w:bodyDiv w:val="1"/>
      <w:marLeft w:val="0"/>
      <w:marRight w:val="0"/>
      <w:marTop w:val="0"/>
      <w:marBottom w:val="0"/>
      <w:divBdr>
        <w:top w:val="none" w:sz="0" w:space="0" w:color="auto"/>
        <w:left w:val="none" w:sz="0" w:space="0" w:color="auto"/>
        <w:bottom w:val="none" w:sz="0" w:space="0" w:color="auto"/>
        <w:right w:val="none" w:sz="0" w:space="0" w:color="auto"/>
      </w:divBdr>
    </w:div>
    <w:div w:id="1562445663">
      <w:bodyDiv w:val="1"/>
      <w:marLeft w:val="0"/>
      <w:marRight w:val="0"/>
      <w:marTop w:val="0"/>
      <w:marBottom w:val="0"/>
      <w:divBdr>
        <w:top w:val="none" w:sz="0" w:space="0" w:color="auto"/>
        <w:left w:val="none" w:sz="0" w:space="0" w:color="auto"/>
        <w:bottom w:val="none" w:sz="0" w:space="0" w:color="auto"/>
        <w:right w:val="none" w:sz="0" w:space="0" w:color="auto"/>
      </w:divBdr>
    </w:div>
    <w:div w:id="1612474077">
      <w:bodyDiv w:val="1"/>
      <w:marLeft w:val="0"/>
      <w:marRight w:val="0"/>
      <w:marTop w:val="0"/>
      <w:marBottom w:val="0"/>
      <w:divBdr>
        <w:top w:val="none" w:sz="0" w:space="0" w:color="auto"/>
        <w:left w:val="none" w:sz="0" w:space="0" w:color="auto"/>
        <w:bottom w:val="none" w:sz="0" w:space="0" w:color="auto"/>
        <w:right w:val="none" w:sz="0" w:space="0" w:color="auto"/>
      </w:divBdr>
    </w:div>
    <w:div w:id="1658612481">
      <w:bodyDiv w:val="1"/>
      <w:marLeft w:val="0"/>
      <w:marRight w:val="0"/>
      <w:marTop w:val="0"/>
      <w:marBottom w:val="0"/>
      <w:divBdr>
        <w:top w:val="none" w:sz="0" w:space="0" w:color="auto"/>
        <w:left w:val="none" w:sz="0" w:space="0" w:color="auto"/>
        <w:bottom w:val="none" w:sz="0" w:space="0" w:color="auto"/>
        <w:right w:val="none" w:sz="0" w:space="0" w:color="auto"/>
      </w:divBdr>
    </w:div>
    <w:div w:id="1813257149">
      <w:bodyDiv w:val="1"/>
      <w:marLeft w:val="0"/>
      <w:marRight w:val="0"/>
      <w:marTop w:val="0"/>
      <w:marBottom w:val="0"/>
      <w:divBdr>
        <w:top w:val="none" w:sz="0" w:space="0" w:color="auto"/>
        <w:left w:val="none" w:sz="0" w:space="0" w:color="auto"/>
        <w:bottom w:val="none" w:sz="0" w:space="0" w:color="auto"/>
        <w:right w:val="none" w:sz="0" w:space="0" w:color="auto"/>
      </w:divBdr>
    </w:div>
    <w:div w:id="19781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2018</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2017-12-07T12:01:00Z</dcterms:created>
  <dcterms:modified xsi:type="dcterms:W3CDTF">2017-12-07T12:01:00Z</dcterms:modified>
</cp:coreProperties>
</file>